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F148" w14:textId="54031F2D" w:rsidR="008F5BA2" w:rsidRDefault="008F5BA2" w:rsidP="008F5BA2">
      <w:pPr>
        <w:spacing w:after="0" w:line="240" w:lineRule="auto"/>
      </w:pPr>
      <w:bookmarkStart w:id="0" w:name="_Hlk78483604"/>
    </w:p>
    <w:p w14:paraId="5BDD062A" w14:textId="77777777" w:rsidR="008F5BA2" w:rsidRDefault="008F5BA2" w:rsidP="008F5BA2">
      <w:pPr>
        <w:spacing w:after="0" w:line="240" w:lineRule="auto"/>
      </w:pPr>
    </w:p>
    <w:p w14:paraId="7ADC87B4" w14:textId="72877519" w:rsidR="00C33D2B" w:rsidRDefault="00C33D2B" w:rsidP="008F5BA2">
      <w:pPr>
        <w:spacing w:after="0" w:line="240" w:lineRule="auto"/>
        <w:jc w:val="right"/>
      </w:pPr>
      <w:r>
        <w:rPr>
          <w:noProof/>
        </w:rPr>
        <w:drawing>
          <wp:inline distT="0" distB="0" distL="0" distR="0" wp14:anchorId="267CA6D5" wp14:editId="51A44275">
            <wp:extent cx="1581617" cy="127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115" cy="1272809"/>
                    </a:xfrm>
                    <a:prstGeom prst="rect">
                      <a:avLst/>
                    </a:prstGeom>
                    <a:noFill/>
                  </pic:spPr>
                </pic:pic>
              </a:graphicData>
            </a:graphic>
          </wp:inline>
        </w:drawing>
      </w:r>
    </w:p>
    <w:p w14:paraId="66DA93B0" w14:textId="77777777" w:rsidR="00C33D2B" w:rsidRDefault="00C33D2B" w:rsidP="008F5BA2">
      <w:pPr>
        <w:spacing w:after="0" w:line="240" w:lineRule="auto"/>
        <w:jc w:val="right"/>
      </w:pPr>
    </w:p>
    <w:p w14:paraId="1C6011CA" w14:textId="77777777" w:rsidR="00C33D2B" w:rsidRDefault="00C33D2B" w:rsidP="008F5BA2">
      <w:pPr>
        <w:spacing w:after="0" w:line="240" w:lineRule="auto"/>
        <w:jc w:val="right"/>
      </w:pPr>
    </w:p>
    <w:p w14:paraId="3F5A6629" w14:textId="77777777" w:rsidR="00C33D2B" w:rsidRDefault="00C33D2B" w:rsidP="008F5BA2">
      <w:pPr>
        <w:spacing w:after="0" w:line="240" w:lineRule="auto"/>
        <w:jc w:val="right"/>
      </w:pPr>
    </w:p>
    <w:p w14:paraId="582258EF" w14:textId="77777777" w:rsidR="00C33D2B" w:rsidRDefault="00C33D2B" w:rsidP="008F5BA2">
      <w:pPr>
        <w:spacing w:after="0" w:line="240" w:lineRule="auto"/>
        <w:jc w:val="right"/>
      </w:pPr>
    </w:p>
    <w:p w14:paraId="6BBCDCE4" w14:textId="77777777" w:rsidR="00C33D2B" w:rsidRDefault="00C33D2B" w:rsidP="008F5BA2">
      <w:pPr>
        <w:spacing w:after="0" w:line="240" w:lineRule="auto"/>
        <w:jc w:val="right"/>
      </w:pPr>
    </w:p>
    <w:p w14:paraId="462C6716" w14:textId="08782720" w:rsidR="00B03CDA" w:rsidRPr="00C63C56" w:rsidRDefault="00B03CDA" w:rsidP="00B03CDA">
      <w:pPr>
        <w:spacing w:after="0" w:line="240" w:lineRule="auto"/>
        <w:jc w:val="center"/>
        <w:rPr>
          <w:rFonts w:ascii="Arial" w:hAnsi="Arial" w:cs="Arial"/>
          <w:b/>
          <w:bCs/>
          <w:sz w:val="44"/>
          <w:szCs w:val="44"/>
        </w:rPr>
      </w:pPr>
      <w:r w:rsidRPr="00C63C56">
        <w:rPr>
          <w:rFonts w:ascii="Arial" w:hAnsi="Arial" w:cs="Arial"/>
          <w:b/>
          <w:bCs/>
          <w:sz w:val="44"/>
          <w:szCs w:val="44"/>
        </w:rPr>
        <w:t>Prudential Standard RA01: Stays on Early-Termination Rights and Resolution Moratoria on Contracts of Designated Institutions in Resolution</w:t>
      </w:r>
    </w:p>
    <w:p w14:paraId="43C90E1A" w14:textId="307B818C" w:rsidR="00C33D2B" w:rsidRPr="00C63C56" w:rsidRDefault="00C33D2B" w:rsidP="004357CB">
      <w:pPr>
        <w:spacing w:after="0" w:line="240" w:lineRule="auto"/>
        <w:jc w:val="center"/>
        <w:rPr>
          <w:rFonts w:ascii="Arial" w:hAnsi="Arial" w:cs="Arial"/>
          <w:b/>
          <w:bCs/>
          <w:sz w:val="44"/>
          <w:szCs w:val="44"/>
        </w:rPr>
      </w:pPr>
    </w:p>
    <w:p w14:paraId="0AE701A9" w14:textId="77777777" w:rsidR="008C4CC3" w:rsidRPr="00C63C56" w:rsidRDefault="008C4CC3" w:rsidP="004357CB">
      <w:pPr>
        <w:spacing w:after="0" w:line="240" w:lineRule="auto"/>
        <w:jc w:val="center"/>
        <w:rPr>
          <w:rFonts w:ascii="Arial" w:hAnsi="Arial" w:cs="Arial"/>
          <w:b/>
          <w:bCs/>
          <w:sz w:val="44"/>
          <w:szCs w:val="44"/>
        </w:rPr>
      </w:pPr>
    </w:p>
    <w:p w14:paraId="468956E4" w14:textId="4BC976FF" w:rsidR="001D3FFE" w:rsidRPr="00C63C56" w:rsidRDefault="001D3FFE" w:rsidP="004357CB">
      <w:pPr>
        <w:spacing w:after="0" w:line="240" w:lineRule="auto"/>
        <w:jc w:val="center"/>
        <w:rPr>
          <w:rFonts w:ascii="Arial" w:hAnsi="Arial" w:cs="Arial"/>
          <w:b/>
          <w:bCs/>
          <w:sz w:val="44"/>
          <w:szCs w:val="44"/>
        </w:rPr>
      </w:pPr>
      <w:r w:rsidRPr="00C63C56">
        <w:rPr>
          <w:rFonts w:ascii="Arial" w:hAnsi="Arial" w:cs="Arial"/>
          <w:b/>
          <w:bCs/>
          <w:sz w:val="44"/>
          <w:szCs w:val="44"/>
        </w:rPr>
        <w:t>Consultation Report</w:t>
      </w:r>
    </w:p>
    <w:p w14:paraId="091D67A6" w14:textId="59264FBA" w:rsidR="00C33D2B" w:rsidRDefault="00C33D2B" w:rsidP="004357CB">
      <w:pPr>
        <w:spacing w:after="0" w:line="240" w:lineRule="auto"/>
        <w:jc w:val="center"/>
        <w:rPr>
          <w:rFonts w:ascii="Arial" w:hAnsi="Arial" w:cs="Arial"/>
          <w:b/>
          <w:bCs/>
          <w:sz w:val="72"/>
          <w:szCs w:val="72"/>
        </w:rPr>
      </w:pPr>
    </w:p>
    <w:p w14:paraId="42622937" w14:textId="77777777" w:rsidR="00C33D2B" w:rsidRDefault="00C33D2B" w:rsidP="008F5BA2">
      <w:pPr>
        <w:spacing w:after="0" w:line="240" w:lineRule="auto"/>
        <w:jc w:val="right"/>
      </w:pPr>
    </w:p>
    <w:p w14:paraId="420CB0A9" w14:textId="77777777" w:rsidR="00C33D2B" w:rsidRDefault="00C33D2B" w:rsidP="008F5BA2">
      <w:pPr>
        <w:spacing w:after="0" w:line="240" w:lineRule="auto"/>
        <w:jc w:val="right"/>
      </w:pPr>
    </w:p>
    <w:p w14:paraId="2A241404" w14:textId="77777777" w:rsidR="00C33D2B" w:rsidRDefault="00C33D2B" w:rsidP="008F5BA2">
      <w:pPr>
        <w:spacing w:after="0" w:line="240" w:lineRule="auto"/>
        <w:jc w:val="right"/>
      </w:pPr>
    </w:p>
    <w:p w14:paraId="1266D275" w14:textId="77777777" w:rsidR="00C33D2B" w:rsidRDefault="00C33D2B" w:rsidP="008F5BA2">
      <w:pPr>
        <w:spacing w:after="0" w:line="240" w:lineRule="auto"/>
        <w:jc w:val="right"/>
      </w:pPr>
    </w:p>
    <w:p w14:paraId="7C27BAAE" w14:textId="77777777" w:rsidR="00C33D2B" w:rsidRDefault="00C33D2B" w:rsidP="008F5BA2">
      <w:pPr>
        <w:spacing w:after="0" w:line="240" w:lineRule="auto"/>
        <w:jc w:val="right"/>
      </w:pPr>
    </w:p>
    <w:p w14:paraId="58DD79B0" w14:textId="77777777" w:rsidR="00C33D2B" w:rsidRDefault="00C33D2B" w:rsidP="008F5BA2">
      <w:pPr>
        <w:spacing w:after="0" w:line="240" w:lineRule="auto"/>
        <w:jc w:val="right"/>
      </w:pPr>
    </w:p>
    <w:p w14:paraId="5AEB3086" w14:textId="77777777" w:rsidR="00C33D2B" w:rsidRDefault="00C33D2B" w:rsidP="008F5BA2">
      <w:pPr>
        <w:spacing w:after="0" w:line="240" w:lineRule="auto"/>
        <w:jc w:val="right"/>
      </w:pPr>
    </w:p>
    <w:p w14:paraId="2F5B7C4A" w14:textId="77777777" w:rsidR="00C33D2B" w:rsidRDefault="00C33D2B" w:rsidP="008F5BA2">
      <w:pPr>
        <w:spacing w:after="0" w:line="240" w:lineRule="auto"/>
        <w:jc w:val="right"/>
      </w:pPr>
    </w:p>
    <w:p w14:paraId="3D767B68" w14:textId="76E51B26" w:rsidR="00C33D2B" w:rsidRDefault="00C33D2B" w:rsidP="008F5BA2">
      <w:pPr>
        <w:spacing w:after="0" w:line="240" w:lineRule="auto"/>
        <w:jc w:val="right"/>
      </w:pPr>
    </w:p>
    <w:p w14:paraId="4E4F6C2D" w14:textId="57F5DF6D" w:rsidR="0086681B" w:rsidRDefault="0086681B" w:rsidP="008F5BA2">
      <w:pPr>
        <w:spacing w:after="0" w:line="240" w:lineRule="auto"/>
        <w:jc w:val="right"/>
      </w:pPr>
    </w:p>
    <w:p w14:paraId="4E52E9EB" w14:textId="5DE4C2CC" w:rsidR="0086681B" w:rsidRDefault="0086681B" w:rsidP="008F5BA2">
      <w:pPr>
        <w:spacing w:after="0" w:line="240" w:lineRule="auto"/>
        <w:jc w:val="right"/>
      </w:pPr>
    </w:p>
    <w:p w14:paraId="2C11F190" w14:textId="476CF8E7" w:rsidR="0086681B" w:rsidRDefault="0086681B" w:rsidP="008F5BA2">
      <w:pPr>
        <w:spacing w:after="0" w:line="240" w:lineRule="auto"/>
        <w:jc w:val="right"/>
      </w:pPr>
    </w:p>
    <w:p w14:paraId="3A959CB8" w14:textId="18AA20C7" w:rsidR="0086681B" w:rsidRDefault="0086681B" w:rsidP="008F5BA2">
      <w:pPr>
        <w:spacing w:after="0" w:line="240" w:lineRule="auto"/>
        <w:jc w:val="right"/>
      </w:pPr>
    </w:p>
    <w:p w14:paraId="51B83547" w14:textId="22E0CD78" w:rsidR="0086681B" w:rsidRDefault="0086681B" w:rsidP="008F5BA2">
      <w:pPr>
        <w:spacing w:after="0" w:line="240" w:lineRule="auto"/>
        <w:jc w:val="right"/>
      </w:pPr>
    </w:p>
    <w:p w14:paraId="253744EB" w14:textId="545BBA6B" w:rsidR="0086681B" w:rsidRDefault="0086681B" w:rsidP="008F5BA2">
      <w:pPr>
        <w:spacing w:after="0" w:line="240" w:lineRule="auto"/>
        <w:jc w:val="right"/>
      </w:pPr>
    </w:p>
    <w:p w14:paraId="5E0B8CE9" w14:textId="7C29B203" w:rsidR="0086681B" w:rsidRDefault="0086681B" w:rsidP="008F5BA2">
      <w:pPr>
        <w:spacing w:after="0" w:line="240" w:lineRule="auto"/>
        <w:jc w:val="right"/>
      </w:pPr>
    </w:p>
    <w:p w14:paraId="669F2874" w14:textId="02DFE4A7" w:rsidR="0086681B" w:rsidRDefault="0086681B" w:rsidP="008F5BA2">
      <w:pPr>
        <w:spacing w:after="0" w:line="240" w:lineRule="auto"/>
        <w:jc w:val="right"/>
      </w:pPr>
    </w:p>
    <w:p w14:paraId="62538D78" w14:textId="3A671448" w:rsidR="0086681B" w:rsidRDefault="0086681B" w:rsidP="008F5BA2">
      <w:pPr>
        <w:spacing w:after="0" w:line="240" w:lineRule="auto"/>
        <w:jc w:val="right"/>
      </w:pPr>
    </w:p>
    <w:p w14:paraId="1F81D6EA" w14:textId="531E90CB" w:rsidR="0086681B" w:rsidRDefault="0086681B" w:rsidP="008F5BA2">
      <w:pPr>
        <w:spacing w:after="0" w:line="240" w:lineRule="auto"/>
        <w:jc w:val="right"/>
      </w:pPr>
    </w:p>
    <w:p w14:paraId="56A5A804" w14:textId="2C2B8D5A" w:rsidR="0086681B" w:rsidRDefault="0086681B" w:rsidP="008F5BA2">
      <w:pPr>
        <w:spacing w:after="0" w:line="240" w:lineRule="auto"/>
        <w:jc w:val="right"/>
      </w:pPr>
    </w:p>
    <w:p w14:paraId="1DDA7EC1" w14:textId="623D6969" w:rsidR="0086681B" w:rsidRDefault="0086681B" w:rsidP="008F5BA2">
      <w:pPr>
        <w:spacing w:after="0" w:line="240" w:lineRule="auto"/>
        <w:jc w:val="right"/>
      </w:pPr>
    </w:p>
    <w:p w14:paraId="6901BCEE" w14:textId="02B9E3DC" w:rsidR="0086681B" w:rsidRDefault="0086681B" w:rsidP="008F5BA2">
      <w:pPr>
        <w:spacing w:after="0" w:line="240" w:lineRule="auto"/>
        <w:jc w:val="right"/>
      </w:pPr>
    </w:p>
    <w:p w14:paraId="306729E4" w14:textId="00BEE7CD" w:rsidR="0086681B" w:rsidRDefault="0086681B" w:rsidP="008F5BA2">
      <w:pPr>
        <w:spacing w:after="0" w:line="240" w:lineRule="auto"/>
        <w:jc w:val="right"/>
      </w:pPr>
    </w:p>
    <w:p w14:paraId="36CF5108" w14:textId="62B0BFE3" w:rsidR="0086681B" w:rsidRDefault="0086681B" w:rsidP="008F5BA2">
      <w:pPr>
        <w:spacing w:after="0" w:line="240" w:lineRule="auto"/>
        <w:jc w:val="right"/>
      </w:pPr>
      <w:r>
        <w:br w:type="page"/>
      </w:r>
    </w:p>
    <w:p w14:paraId="03FD83B7" w14:textId="599978A9" w:rsidR="001D2105" w:rsidRPr="00666A2A" w:rsidRDefault="001D2105" w:rsidP="00DA5C13">
      <w:pPr>
        <w:numPr>
          <w:ilvl w:val="0"/>
          <w:numId w:val="1"/>
        </w:numPr>
        <w:spacing w:after="120" w:line="360" w:lineRule="auto"/>
        <w:ind w:hanging="720"/>
        <w:jc w:val="both"/>
        <w:rPr>
          <w:rFonts w:ascii="Arial" w:hAnsi="Arial" w:cs="Arial"/>
          <w:b/>
          <w:sz w:val="23"/>
          <w:szCs w:val="23"/>
          <w:lang w:val="en-US"/>
        </w:rPr>
      </w:pPr>
      <w:bookmarkStart w:id="1" w:name="_Hlk83207777"/>
      <w:r w:rsidRPr="00666A2A">
        <w:rPr>
          <w:rFonts w:ascii="Arial" w:hAnsi="Arial" w:cs="Arial"/>
          <w:b/>
          <w:sz w:val="23"/>
          <w:szCs w:val="23"/>
          <w:lang w:val="en-US"/>
        </w:rPr>
        <w:lastRenderedPageBreak/>
        <w:t>Purpose</w:t>
      </w:r>
    </w:p>
    <w:p w14:paraId="1CB22FB6" w14:textId="3C4DD964" w:rsidR="00973D5E" w:rsidRPr="00666A2A" w:rsidRDefault="00973D5E" w:rsidP="00DA5C13">
      <w:pPr>
        <w:numPr>
          <w:ilvl w:val="1"/>
          <w:numId w:val="1"/>
        </w:numPr>
        <w:spacing w:after="120" w:line="360" w:lineRule="auto"/>
        <w:ind w:hanging="720"/>
        <w:jc w:val="both"/>
        <w:rPr>
          <w:rFonts w:ascii="Arial" w:eastAsia="Times New Roman" w:hAnsi="Arial" w:cs="Arial"/>
          <w:sz w:val="23"/>
          <w:szCs w:val="23"/>
        </w:rPr>
      </w:pPr>
      <w:r w:rsidRPr="00666A2A">
        <w:rPr>
          <w:rFonts w:ascii="Arial" w:hAnsi="Arial" w:cs="Arial"/>
          <w:bCs/>
          <w:sz w:val="23"/>
          <w:szCs w:val="23"/>
          <w:lang w:val="en-US"/>
        </w:rPr>
        <w:t>Section 104 of the Financial Sector Regulation Act, 2017 (Act No. 9 of 2017)</w:t>
      </w:r>
      <w:r w:rsidR="00965882" w:rsidRPr="00666A2A">
        <w:rPr>
          <w:rFonts w:ascii="Arial" w:hAnsi="Arial" w:cs="Arial"/>
          <w:bCs/>
          <w:sz w:val="23"/>
          <w:szCs w:val="23"/>
          <w:lang w:val="en-US"/>
        </w:rPr>
        <w:t xml:space="preserve"> as amended by the Financial Sector Laws Amendment Act, 2021 (Act No. 23 of 2021)</w:t>
      </w:r>
      <w:r w:rsidRPr="00666A2A">
        <w:rPr>
          <w:rFonts w:ascii="Arial" w:hAnsi="Arial" w:cs="Arial"/>
          <w:bCs/>
          <w:sz w:val="23"/>
          <w:szCs w:val="23"/>
          <w:lang w:val="en-US"/>
        </w:rPr>
        <w:t xml:space="preserve"> (</w:t>
      </w:r>
      <w:r w:rsidR="00965882" w:rsidRPr="00666A2A">
        <w:rPr>
          <w:rFonts w:ascii="Arial" w:hAnsi="Arial" w:cs="Arial"/>
          <w:bCs/>
          <w:sz w:val="23"/>
          <w:szCs w:val="23"/>
          <w:lang w:val="en-US"/>
        </w:rPr>
        <w:t xml:space="preserve">the </w:t>
      </w:r>
      <w:r w:rsidRPr="00666A2A">
        <w:rPr>
          <w:rFonts w:ascii="Arial" w:hAnsi="Arial" w:cs="Arial"/>
          <w:bCs/>
          <w:sz w:val="23"/>
          <w:szCs w:val="23"/>
          <w:lang w:val="en-US"/>
        </w:rPr>
        <w:t>Act) st</w:t>
      </w:r>
      <w:r w:rsidR="00892C61">
        <w:rPr>
          <w:rFonts w:ascii="Arial" w:hAnsi="Arial" w:cs="Arial"/>
          <w:bCs/>
          <w:sz w:val="23"/>
          <w:szCs w:val="23"/>
          <w:lang w:val="en-US"/>
        </w:rPr>
        <w:t>ipulates</w:t>
      </w:r>
      <w:r w:rsidRPr="00666A2A">
        <w:rPr>
          <w:rFonts w:ascii="Arial" w:hAnsi="Arial" w:cs="Arial"/>
          <w:bCs/>
          <w:sz w:val="23"/>
          <w:szCs w:val="23"/>
          <w:lang w:val="en-US"/>
        </w:rPr>
        <w:t xml:space="preserve"> that with</w:t>
      </w:r>
      <w:r w:rsidRPr="00666A2A">
        <w:rPr>
          <w:rFonts w:ascii="Arial" w:eastAsia="Times New Roman" w:hAnsi="Arial" w:cs="Arial"/>
          <w:sz w:val="23"/>
          <w:szCs w:val="23"/>
        </w:rPr>
        <w:t xml:space="preserve"> each regulatory instrument, the maker must publish a consultation report which must include:</w:t>
      </w:r>
    </w:p>
    <w:p w14:paraId="11F31E73" w14:textId="77777777" w:rsidR="00973D5E" w:rsidRPr="00666A2A" w:rsidRDefault="00973D5E" w:rsidP="00DA5C13">
      <w:pPr>
        <w:spacing w:after="120" w:line="360" w:lineRule="auto"/>
        <w:ind w:left="1440" w:hanging="720"/>
        <w:rPr>
          <w:rFonts w:ascii="Arial" w:eastAsia="Times New Roman" w:hAnsi="Arial" w:cs="Arial"/>
          <w:sz w:val="23"/>
          <w:szCs w:val="23"/>
        </w:rPr>
      </w:pPr>
      <w:r w:rsidRPr="00666A2A">
        <w:rPr>
          <w:rFonts w:ascii="Arial" w:eastAsia="Times New Roman" w:hAnsi="Arial" w:cs="Arial"/>
          <w:sz w:val="23"/>
          <w:szCs w:val="23"/>
        </w:rPr>
        <w:t>(a)     a general account of the issues raised in the submissions made during the consultation; and</w:t>
      </w:r>
    </w:p>
    <w:p w14:paraId="5C1FFFCE" w14:textId="77777777" w:rsidR="00973D5E" w:rsidRPr="00666A2A" w:rsidRDefault="00973D5E" w:rsidP="00DA5C13">
      <w:pPr>
        <w:spacing w:after="120" w:line="360" w:lineRule="auto"/>
        <w:ind w:left="1440" w:hanging="720"/>
        <w:rPr>
          <w:rFonts w:ascii="Arial" w:eastAsia="Times New Roman" w:hAnsi="Arial" w:cs="Arial"/>
          <w:sz w:val="23"/>
          <w:szCs w:val="23"/>
        </w:rPr>
      </w:pPr>
      <w:r w:rsidRPr="00666A2A">
        <w:rPr>
          <w:rFonts w:ascii="Arial" w:eastAsia="Times New Roman" w:hAnsi="Arial" w:cs="Arial"/>
          <w:sz w:val="23"/>
          <w:szCs w:val="23"/>
        </w:rPr>
        <w:t xml:space="preserve">(b)     a response to the issues raised in the submissions. </w:t>
      </w:r>
    </w:p>
    <w:p w14:paraId="7123E01A" w14:textId="3F47908F" w:rsidR="001D2105" w:rsidRPr="00666A2A" w:rsidRDefault="001D2105" w:rsidP="00DA5C13">
      <w:pPr>
        <w:numPr>
          <w:ilvl w:val="1"/>
          <w:numId w:val="1"/>
        </w:numPr>
        <w:spacing w:after="120" w:line="360" w:lineRule="auto"/>
        <w:ind w:hanging="720"/>
        <w:jc w:val="both"/>
        <w:rPr>
          <w:rFonts w:ascii="Arial" w:hAnsi="Arial" w:cs="Arial"/>
          <w:sz w:val="23"/>
          <w:szCs w:val="23"/>
        </w:rPr>
      </w:pPr>
      <w:r w:rsidRPr="00666A2A">
        <w:rPr>
          <w:rFonts w:ascii="Arial" w:hAnsi="Arial" w:cs="Arial"/>
          <w:bCs/>
          <w:sz w:val="23"/>
          <w:szCs w:val="23"/>
          <w:lang w:val="en-US"/>
        </w:rPr>
        <w:t>The purpose</w:t>
      </w:r>
      <w:r w:rsidRPr="00666A2A">
        <w:rPr>
          <w:rFonts w:ascii="Arial" w:hAnsi="Arial" w:cs="Arial"/>
          <w:sz w:val="23"/>
          <w:szCs w:val="23"/>
          <w:lang w:val="en-US"/>
        </w:rPr>
        <w:t xml:space="preserve"> of this document is to set out, as required in terms of section 104 of the Act, a report on the consultation process undertaken in respect of </w:t>
      </w:r>
      <w:bookmarkStart w:id="2" w:name="_Hlk109055380"/>
      <w:r w:rsidR="00A802A9">
        <w:rPr>
          <w:rFonts w:ascii="Arial" w:hAnsi="Arial" w:cs="Arial"/>
          <w:sz w:val="23"/>
          <w:szCs w:val="23"/>
          <w:lang w:val="en-US"/>
        </w:rPr>
        <w:t xml:space="preserve">the </w:t>
      </w:r>
      <w:r w:rsidR="00B03CDA" w:rsidRPr="00666A2A">
        <w:rPr>
          <w:rFonts w:ascii="Arial" w:hAnsi="Arial" w:cs="Arial"/>
          <w:sz w:val="23"/>
          <w:szCs w:val="23"/>
          <w:lang w:val="en-US"/>
        </w:rPr>
        <w:t xml:space="preserve">draft </w:t>
      </w:r>
      <w:r w:rsidR="00303902" w:rsidRPr="00666A2A">
        <w:rPr>
          <w:rFonts w:ascii="Arial" w:hAnsi="Arial" w:cs="Arial"/>
          <w:sz w:val="23"/>
          <w:szCs w:val="23"/>
        </w:rPr>
        <w:t>p</w:t>
      </w:r>
      <w:r w:rsidR="00B03CDA" w:rsidRPr="00666A2A">
        <w:rPr>
          <w:rFonts w:ascii="Arial" w:hAnsi="Arial" w:cs="Arial"/>
          <w:sz w:val="23"/>
          <w:szCs w:val="23"/>
        </w:rPr>
        <w:t xml:space="preserve">rudential </w:t>
      </w:r>
      <w:r w:rsidR="00303902" w:rsidRPr="00666A2A">
        <w:rPr>
          <w:rFonts w:ascii="Arial" w:hAnsi="Arial" w:cs="Arial"/>
          <w:sz w:val="23"/>
          <w:szCs w:val="23"/>
        </w:rPr>
        <w:t>s</w:t>
      </w:r>
      <w:r w:rsidR="00B03CDA" w:rsidRPr="00666A2A">
        <w:rPr>
          <w:rFonts w:ascii="Arial" w:hAnsi="Arial" w:cs="Arial"/>
          <w:sz w:val="23"/>
          <w:szCs w:val="23"/>
        </w:rPr>
        <w:t xml:space="preserve">tandard </w:t>
      </w:r>
      <w:bookmarkStart w:id="3" w:name="_Hlk101512962"/>
      <w:r w:rsidR="00303902" w:rsidRPr="00666A2A">
        <w:rPr>
          <w:rFonts w:ascii="Arial" w:hAnsi="Arial" w:cs="Arial"/>
          <w:sz w:val="23"/>
          <w:szCs w:val="23"/>
        </w:rPr>
        <w:t>relating to</w:t>
      </w:r>
      <w:r w:rsidR="00B03CDA" w:rsidRPr="00666A2A">
        <w:rPr>
          <w:rFonts w:ascii="Arial" w:hAnsi="Arial" w:cs="Arial"/>
          <w:sz w:val="23"/>
          <w:szCs w:val="23"/>
        </w:rPr>
        <w:t xml:space="preserve"> </w:t>
      </w:r>
      <w:r w:rsidR="00303902" w:rsidRPr="00666A2A">
        <w:rPr>
          <w:rFonts w:ascii="Arial" w:hAnsi="Arial" w:cs="Arial"/>
          <w:sz w:val="23"/>
          <w:szCs w:val="23"/>
        </w:rPr>
        <w:t>s</w:t>
      </w:r>
      <w:r w:rsidR="00B03CDA" w:rsidRPr="00666A2A">
        <w:rPr>
          <w:rFonts w:ascii="Arial" w:hAnsi="Arial" w:cs="Arial"/>
          <w:sz w:val="23"/>
          <w:szCs w:val="23"/>
        </w:rPr>
        <w:t xml:space="preserve">tays on </w:t>
      </w:r>
      <w:r w:rsidR="00303902" w:rsidRPr="00666A2A">
        <w:rPr>
          <w:rFonts w:ascii="Arial" w:hAnsi="Arial" w:cs="Arial"/>
          <w:sz w:val="23"/>
          <w:szCs w:val="23"/>
        </w:rPr>
        <w:t>e</w:t>
      </w:r>
      <w:r w:rsidR="00B03CDA" w:rsidRPr="00666A2A">
        <w:rPr>
          <w:rFonts w:ascii="Arial" w:hAnsi="Arial" w:cs="Arial"/>
          <w:sz w:val="23"/>
          <w:szCs w:val="23"/>
        </w:rPr>
        <w:t>arly-</w:t>
      </w:r>
      <w:r w:rsidR="00303902" w:rsidRPr="00666A2A">
        <w:rPr>
          <w:rFonts w:ascii="Arial" w:hAnsi="Arial" w:cs="Arial"/>
          <w:sz w:val="23"/>
          <w:szCs w:val="23"/>
        </w:rPr>
        <w:t>t</w:t>
      </w:r>
      <w:r w:rsidR="00B03CDA" w:rsidRPr="00666A2A">
        <w:rPr>
          <w:rFonts w:ascii="Arial" w:hAnsi="Arial" w:cs="Arial"/>
          <w:sz w:val="23"/>
          <w:szCs w:val="23"/>
        </w:rPr>
        <w:t xml:space="preserve">ermination </w:t>
      </w:r>
      <w:r w:rsidR="00303902" w:rsidRPr="00666A2A">
        <w:rPr>
          <w:rFonts w:ascii="Arial" w:hAnsi="Arial" w:cs="Arial"/>
          <w:sz w:val="23"/>
          <w:szCs w:val="23"/>
        </w:rPr>
        <w:t>r</w:t>
      </w:r>
      <w:r w:rsidR="00B03CDA" w:rsidRPr="00666A2A">
        <w:rPr>
          <w:rFonts w:ascii="Arial" w:hAnsi="Arial" w:cs="Arial"/>
          <w:sz w:val="23"/>
          <w:szCs w:val="23"/>
        </w:rPr>
        <w:t xml:space="preserve">ights and </w:t>
      </w:r>
      <w:r w:rsidR="00303902" w:rsidRPr="00666A2A">
        <w:rPr>
          <w:rFonts w:ascii="Arial" w:hAnsi="Arial" w:cs="Arial"/>
          <w:sz w:val="23"/>
          <w:szCs w:val="23"/>
        </w:rPr>
        <w:t>r</w:t>
      </w:r>
      <w:r w:rsidR="00B03CDA" w:rsidRPr="00666A2A">
        <w:rPr>
          <w:rFonts w:ascii="Arial" w:hAnsi="Arial" w:cs="Arial"/>
          <w:sz w:val="23"/>
          <w:szCs w:val="23"/>
        </w:rPr>
        <w:t xml:space="preserve">esolution </w:t>
      </w:r>
      <w:r w:rsidR="00303902" w:rsidRPr="00666A2A">
        <w:rPr>
          <w:rFonts w:ascii="Arial" w:hAnsi="Arial" w:cs="Arial"/>
          <w:sz w:val="23"/>
          <w:szCs w:val="23"/>
        </w:rPr>
        <w:t>m</w:t>
      </w:r>
      <w:r w:rsidR="00B03CDA" w:rsidRPr="00666A2A">
        <w:rPr>
          <w:rFonts w:ascii="Arial" w:hAnsi="Arial" w:cs="Arial"/>
          <w:sz w:val="23"/>
          <w:szCs w:val="23"/>
        </w:rPr>
        <w:t xml:space="preserve">oratoria on </w:t>
      </w:r>
      <w:r w:rsidR="00303902" w:rsidRPr="00666A2A">
        <w:rPr>
          <w:rFonts w:ascii="Arial" w:hAnsi="Arial" w:cs="Arial"/>
          <w:sz w:val="23"/>
          <w:szCs w:val="23"/>
        </w:rPr>
        <w:t>c</w:t>
      </w:r>
      <w:r w:rsidR="00B03CDA" w:rsidRPr="00666A2A">
        <w:rPr>
          <w:rFonts w:ascii="Arial" w:hAnsi="Arial" w:cs="Arial"/>
          <w:sz w:val="23"/>
          <w:szCs w:val="23"/>
        </w:rPr>
        <w:t xml:space="preserve">ontracts of </w:t>
      </w:r>
      <w:r w:rsidR="00303902" w:rsidRPr="00666A2A">
        <w:rPr>
          <w:rFonts w:ascii="Arial" w:hAnsi="Arial" w:cs="Arial"/>
          <w:sz w:val="23"/>
          <w:szCs w:val="23"/>
        </w:rPr>
        <w:t>d</w:t>
      </w:r>
      <w:r w:rsidR="00B03CDA" w:rsidRPr="00666A2A">
        <w:rPr>
          <w:rFonts w:ascii="Arial" w:hAnsi="Arial" w:cs="Arial"/>
          <w:sz w:val="23"/>
          <w:szCs w:val="23"/>
        </w:rPr>
        <w:t xml:space="preserve">esignated </w:t>
      </w:r>
      <w:r w:rsidR="00303902" w:rsidRPr="00666A2A">
        <w:rPr>
          <w:rFonts w:ascii="Arial" w:hAnsi="Arial" w:cs="Arial"/>
          <w:sz w:val="23"/>
          <w:szCs w:val="23"/>
        </w:rPr>
        <w:t>i</w:t>
      </w:r>
      <w:r w:rsidR="00B03CDA" w:rsidRPr="00666A2A">
        <w:rPr>
          <w:rFonts w:ascii="Arial" w:hAnsi="Arial" w:cs="Arial"/>
          <w:sz w:val="23"/>
          <w:szCs w:val="23"/>
        </w:rPr>
        <w:t xml:space="preserve">nstitutions in </w:t>
      </w:r>
      <w:r w:rsidR="00303902" w:rsidRPr="00666A2A">
        <w:rPr>
          <w:rFonts w:ascii="Arial" w:hAnsi="Arial" w:cs="Arial"/>
          <w:sz w:val="23"/>
          <w:szCs w:val="23"/>
        </w:rPr>
        <w:t>r</w:t>
      </w:r>
      <w:r w:rsidR="00B03CDA" w:rsidRPr="00666A2A">
        <w:rPr>
          <w:rFonts w:ascii="Arial" w:hAnsi="Arial" w:cs="Arial"/>
          <w:sz w:val="23"/>
          <w:szCs w:val="23"/>
        </w:rPr>
        <w:t>esolution</w:t>
      </w:r>
      <w:bookmarkEnd w:id="3"/>
      <w:r w:rsidR="00B03CDA" w:rsidRPr="00666A2A">
        <w:rPr>
          <w:rFonts w:ascii="Arial" w:hAnsi="Arial" w:cs="Arial"/>
          <w:sz w:val="23"/>
          <w:szCs w:val="23"/>
        </w:rPr>
        <w:t>.</w:t>
      </w:r>
      <w:bookmarkEnd w:id="2"/>
    </w:p>
    <w:bookmarkEnd w:id="1"/>
    <w:p w14:paraId="28547505" w14:textId="7B8CB09C" w:rsidR="00973D5E" w:rsidRPr="00666A2A" w:rsidRDefault="00973D5E" w:rsidP="00DA5C13">
      <w:pPr>
        <w:pStyle w:val="ListParagraph"/>
        <w:numPr>
          <w:ilvl w:val="0"/>
          <w:numId w:val="1"/>
        </w:numPr>
        <w:spacing w:after="120" w:line="360" w:lineRule="auto"/>
        <w:ind w:hanging="720"/>
        <w:jc w:val="both"/>
        <w:rPr>
          <w:rFonts w:ascii="Arial" w:hAnsi="Arial" w:cs="Arial"/>
          <w:b/>
          <w:bCs/>
          <w:sz w:val="23"/>
          <w:szCs w:val="23"/>
        </w:rPr>
      </w:pPr>
      <w:r w:rsidRPr="00666A2A">
        <w:rPr>
          <w:rFonts w:ascii="Arial" w:hAnsi="Arial" w:cs="Arial"/>
          <w:b/>
          <w:bCs/>
          <w:sz w:val="23"/>
          <w:szCs w:val="23"/>
        </w:rPr>
        <w:t>Summary of consultation process and general account of issues raised</w:t>
      </w:r>
    </w:p>
    <w:p w14:paraId="373DDF19" w14:textId="3674D4C5" w:rsidR="00973D5E" w:rsidRPr="00666A2A" w:rsidRDefault="00973D5E" w:rsidP="00DA5C13">
      <w:pPr>
        <w:numPr>
          <w:ilvl w:val="1"/>
          <w:numId w:val="1"/>
        </w:numPr>
        <w:spacing w:after="120" w:line="360" w:lineRule="auto"/>
        <w:ind w:hanging="720"/>
        <w:jc w:val="both"/>
        <w:rPr>
          <w:rFonts w:ascii="Arial" w:hAnsi="Arial" w:cs="Arial"/>
          <w:sz w:val="23"/>
          <w:szCs w:val="23"/>
        </w:rPr>
      </w:pPr>
      <w:r w:rsidRPr="00666A2A">
        <w:rPr>
          <w:rFonts w:ascii="Arial" w:hAnsi="Arial" w:cs="Arial"/>
          <w:sz w:val="23"/>
          <w:szCs w:val="23"/>
        </w:rPr>
        <w:t xml:space="preserve">On </w:t>
      </w:r>
      <w:r w:rsidR="00921801" w:rsidRPr="00666A2A">
        <w:rPr>
          <w:rFonts w:ascii="Arial" w:hAnsi="Arial" w:cs="Arial"/>
          <w:sz w:val="23"/>
          <w:szCs w:val="23"/>
        </w:rPr>
        <w:t>15 September</w:t>
      </w:r>
      <w:r w:rsidRPr="00666A2A">
        <w:rPr>
          <w:rFonts w:ascii="Arial" w:hAnsi="Arial" w:cs="Arial"/>
          <w:sz w:val="23"/>
          <w:szCs w:val="23"/>
        </w:rPr>
        <w:t xml:space="preserve"> 202</w:t>
      </w:r>
      <w:r w:rsidR="00921801" w:rsidRPr="00666A2A">
        <w:rPr>
          <w:rFonts w:ascii="Arial" w:hAnsi="Arial" w:cs="Arial"/>
          <w:sz w:val="23"/>
          <w:szCs w:val="23"/>
        </w:rPr>
        <w:t>2</w:t>
      </w:r>
      <w:r w:rsidRPr="00666A2A">
        <w:rPr>
          <w:rFonts w:ascii="Arial" w:hAnsi="Arial" w:cs="Arial"/>
          <w:sz w:val="23"/>
          <w:szCs w:val="23"/>
        </w:rPr>
        <w:t xml:space="preserve">, the Prudential Authority </w:t>
      </w:r>
      <w:r w:rsidR="00364348" w:rsidRPr="00666A2A">
        <w:rPr>
          <w:rFonts w:ascii="Arial" w:hAnsi="Arial" w:cs="Arial"/>
          <w:sz w:val="23"/>
          <w:szCs w:val="23"/>
        </w:rPr>
        <w:t>published the</w:t>
      </w:r>
      <w:r w:rsidR="00B56370" w:rsidRPr="00666A2A">
        <w:rPr>
          <w:rFonts w:ascii="Arial" w:hAnsi="Arial" w:cs="Arial"/>
          <w:sz w:val="23"/>
          <w:szCs w:val="23"/>
        </w:rPr>
        <w:t xml:space="preserve"> </w:t>
      </w:r>
      <w:r w:rsidRPr="00666A2A">
        <w:rPr>
          <w:rFonts w:ascii="Arial" w:hAnsi="Arial" w:cs="Arial"/>
          <w:sz w:val="23"/>
          <w:szCs w:val="23"/>
        </w:rPr>
        <w:t>following documents</w:t>
      </w:r>
      <w:r w:rsidR="00B56370" w:rsidRPr="00666A2A">
        <w:rPr>
          <w:rFonts w:ascii="Arial" w:hAnsi="Arial" w:cs="Arial"/>
          <w:sz w:val="23"/>
          <w:szCs w:val="23"/>
        </w:rPr>
        <w:t xml:space="preserve"> </w:t>
      </w:r>
      <w:r w:rsidRPr="00666A2A">
        <w:rPr>
          <w:rFonts w:ascii="Arial" w:hAnsi="Arial" w:cs="Arial"/>
          <w:sz w:val="23"/>
          <w:szCs w:val="23"/>
        </w:rPr>
        <w:t>for public comment</w:t>
      </w:r>
      <w:r w:rsidR="00364348" w:rsidRPr="00666A2A">
        <w:rPr>
          <w:rFonts w:ascii="Arial" w:hAnsi="Arial" w:cs="Arial"/>
          <w:sz w:val="23"/>
          <w:szCs w:val="23"/>
        </w:rPr>
        <w:t>,</w:t>
      </w:r>
      <w:r w:rsidR="00A321FB" w:rsidRPr="00666A2A">
        <w:rPr>
          <w:rFonts w:ascii="Arial" w:hAnsi="Arial" w:cs="Arial"/>
          <w:sz w:val="23"/>
          <w:szCs w:val="23"/>
        </w:rPr>
        <w:t xml:space="preserve"> with </w:t>
      </w:r>
      <w:r w:rsidR="00EC6315">
        <w:rPr>
          <w:rFonts w:ascii="Arial" w:hAnsi="Arial" w:cs="Arial"/>
          <w:sz w:val="23"/>
          <w:szCs w:val="23"/>
        </w:rPr>
        <w:t xml:space="preserve">the due date for </w:t>
      </w:r>
      <w:r w:rsidR="00A321FB" w:rsidRPr="00666A2A">
        <w:rPr>
          <w:rFonts w:ascii="Arial" w:hAnsi="Arial" w:cs="Arial"/>
          <w:sz w:val="23"/>
          <w:szCs w:val="23"/>
        </w:rPr>
        <w:t xml:space="preserve">comments being </w:t>
      </w:r>
      <w:r w:rsidR="00921801" w:rsidRPr="00666A2A">
        <w:rPr>
          <w:rFonts w:ascii="Arial" w:hAnsi="Arial" w:cs="Arial"/>
          <w:sz w:val="23"/>
          <w:szCs w:val="23"/>
        </w:rPr>
        <w:t xml:space="preserve">4 November </w:t>
      </w:r>
      <w:r w:rsidR="007A0DD0" w:rsidRPr="00666A2A">
        <w:rPr>
          <w:rFonts w:ascii="Arial" w:hAnsi="Arial" w:cs="Arial"/>
          <w:sz w:val="23"/>
          <w:szCs w:val="23"/>
        </w:rPr>
        <w:t>202</w:t>
      </w:r>
      <w:r w:rsidR="00921801" w:rsidRPr="00666A2A">
        <w:rPr>
          <w:rFonts w:ascii="Arial" w:hAnsi="Arial" w:cs="Arial"/>
          <w:sz w:val="23"/>
          <w:szCs w:val="23"/>
        </w:rPr>
        <w:t>2</w:t>
      </w:r>
      <w:r w:rsidRPr="00666A2A">
        <w:rPr>
          <w:rFonts w:ascii="Arial" w:hAnsi="Arial" w:cs="Arial"/>
          <w:sz w:val="23"/>
          <w:szCs w:val="23"/>
        </w:rPr>
        <w:t>:</w:t>
      </w:r>
    </w:p>
    <w:p w14:paraId="1826FFDB" w14:textId="71680F09" w:rsidR="00B779BD" w:rsidRPr="00666A2A" w:rsidRDefault="00973D5E" w:rsidP="00DA5C13">
      <w:pPr>
        <w:pStyle w:val="ListParagraph"/>
        <w:numPr>
          <w:ilvl w:val="0"/>
          <w:numId w:val="2"/>
        </w:numPr>
        <w:spacing w:after="120" w:line="360" w:lineRule="auto"/>
        <w:ind w:left="1440" w:hanging="720"/>
        <w:jc w:val="both"/>
        <w:rPr>
          <w:rFonts w:ascii="Arial" w:hAnsi="Arial" w:cs="Arial"/>
          <w:sz w:val="23"/>
          <w:szCs w:val="23"/>
        </w:rPr>
      </w:pPr>
      <w:r w:rsidRPr="00666A2A">
        <w:rPr>
          <w:rFonts w:ascii="Arial" w:hAnsi="Arial" w:cs="Arial"/>
          <w:noProof/>
          <w:sz w:val="23"/>
          <w:szCs w:val="23"/>
          <w:lang w:eastAsia="en-ZA"/>
        </w:rPr>
        <w:t xml:space="preserve">Notice regarding the publication of </w:t>
      </w:r>
      <w:r w:rsidR="00921801" w:rsidRPr="00666A2A">
        <w:rPr>
          <w:rFonts w:ascii="Arial" w:hAnsi="Arial" w:cs="Arial"/>
          <w:noProof/>
          <w:sz w:val="23"/>
          <w:szCs w:val="23"/>
          <w:lang w:eastAsia="en-ZA"/>
        </w:rPr>
        <w:t xml:space="preserve">the </w:t>
      </w:r>
      <w:r w:rsidRPr="00666A2A">
        <w:rPr>
          <w:rFonts w:ascii="Arial" w:hAnsi="Arial" w:cs="Arial"/>
          <w:noProof/>
          <w:sz w:val="23"/>
          <w:szCs w:val="23"/>
          <w:lang w:eastAsia="en-ZA"/>
        </w:rPr>
        <w:t xml:space="preserve">draft </w:t>
      </w:r>
      <w:r w:rsidR="00921801" w:rsidRPr="00666A2A">
        <w:rPr>
          <w:rFonts w:ascii="Arial" w:hAnsi="Arial" w:cs="Arial"/>
          <w:noProof/>
          <w:sz w:val="23"/>
          <w:szCs w:val="23"/>
          <w:lang w:eastAsia="en-ZA"/>
        </w:rPr>
        <w:t xml:space="preserve">Prudential </w:t>
      </w:r>
      <w:r w:rsidRPr="00666A2A">
        <w:rPr>
          <w:rFonts w:ascii="Arial" w:hAnsi="Arial" w:cs="Arial"/>
          <w:noProof/>
          <w:sz w:val="23"/>
          <w:szCs w:val="23"/>
          <w:lang w:eastAsia="en-ZA"/>
        </w:rPr>
        <w:t xml:space="preserve">Standard – </w:t>
      </w:r>
      <w:r w:rsidR="00921801" w:rsidRPr="00666A2A">
        <w:rPr>
          <w:rFonts w:ascii="Arial" w:hAnsi="Arial" w:cs="Arial"/>
          <w:sz w:val="23"/>
          <w:szCs w:val="23"/>
        </w:rPr>
        <w:t>Stays on Early-Termination Rights and Resolution Moratoria on Contracts of Designated Institutions in Resolution (Standard)</w:t>
      </w:r>
      <w:r w:rsidR="00847D34" w:rsidRPr="00666A2A">
        <w:rPr>
          <w:rFonts w:ascii="Arial" w:hAnsi="Arial" w:cs="Arial"/>
          <w:sz w:val="23"/>
          <w:szCs w:val="23"/>
        </w:rPr>
        <w:t xml:space="preserve"> inviting comments on the </w:t>
      </w:r>
      <w:r w:rsidR="00921801" w:rsidRPr="00666A2A">
        <w:rPr>
          <w:rFonts w:ascii="Arial" w:hAnsi="Arial" w:cs="Arial"/>
          <w:sz w:val="23"/>
          <w:szCs w:val="23"/>
        </w:rPr>
        <w:t>Prudential</w:t>
      </w:r>
      <w:r w:rsidR="004C03FC" w:rsidRPr="00666A2A">
        <w:rPr>
          <w:rFonts w:ascii="Arial" w:hAnsi="Arial" w:cs="Arial"/>
          <w:sz w:val="23"/>
          <w:szCs w:val="23"/>
        </w:rPr>
        <w:t xml:space="preserve"> </w:t>
      </w:r>
      <w:proofErr w:type="gramStart"/>
      <w:r w:rsidR="004C03FC" w:rsidRPr="00666A2A">
        <w:rPr>
          <w:rFonts w:ascii="Arial" w:hAnsi="Arial" w:cs="Arial"/>
          <w:sz w:val="23"/>
          <w:szCs w:val="23"/>
        </w:rPr>
        <w:t>Standard</w:t>
      </w:r>
      <w:r w:rsidRPr="00666A2A">
        <w:rPr>
          <w:rFonts w:ascii="Arial" w:hAnsi="Arial" w:cs="Arial"/>
          <w:sz w:val="23"/>
          <w:szCs w:val="23"/>
        </w:rPr>
        <w:t>;</w:t>
      </w:r>
      <w:proofErr w:type="gramEnd"/>
    </w:p>
    <w:p w14:paraId="1D6691C0" w14:textId="0DCD0F74" w:rsidR="00973D5E" w:rsidRPr="00666A2A" w:rsidRDefault="00B779BD" w:rsidP="00DA5C13">
      <w:pPr>
        <w:pStyle w:val="ListParagraph"/>
        <w:numPr>
          <w:ilvl w:val="0"/>
          <w:numId w:val="2"/>
        </w:numPr>
        <w:spacing w:after="120" w:line="360" w:lineRule="auto"/>
        <w:ind w:left="1440" w:hanging="720"/>
        <w:jc w:val="both"/>
        <w:rPr>
          <w:rFonts w:ascii="Arial" w:hAnsi="Arial" w:cs="Arial"/>
          <w:sz w:val="23"/>
          <w:szCs w:val="23"/>
        </w:rPr>
      </w:pPr>
      <w:r w:rsidRPr="00666A2A">
        <w:rPr>
          <w:rFonts w:ascii="Arial" w:hAnsi="Arial" w:cs="Arial"/>
          <w:sz w:val="23"/>
          <w:szCs w:val="23"/>
        </w:rPr>
        <w:t xml:space="preserve">The </w:t>
      </w:r>
      <w:proofErr w:type="gramStart"/>
      <w:r w:rsidRPr="00666A2A">
        <w:rPr>
          <w:rFonts w:ascii="Arial" w:hAnsi="Arial" w:cs="Arial"/>
          <w:sz w:val="23"/>
          <w:szCs w:val="23"/>
        </w:rPr>
        <w:t>Standard</w:t>
      </w:r>
      <w:r w:rsidR="006D0E64" w:rsidRPr="00666A2A">
        <w:rPr>
          <w:rFonts w:ascii="Arial" w:hAnsi="Arial" w:cs="Arial"/>
          <w:sz w:val="23"/>
          <w:szCs w:val="23"/>
        </w:rPr>
        <w:t>;</w:t>
      </w:r>
      <w:proofErr w:type="gramEnd"/>
    </w:p>
    <w:p w14:paraId="56A94722" w14:textId="30B13183" w:rsidR="006D0E64" w:rsidRPr="00666A2A" w:rsidRDefault="00973D5E" w:rsidP="00DA5C13">
      <w:pPr>
        <w:pStyle w:val="ListParagraph"/>
        <w:numPr>
          <w:ilvl w:val="0"/>
          <w:numId w:val="2"/>
        </w:numPr>
        <w:spacing w:after="120" w:line="360" w:lineRule="auto"/>
        <w:ind w:left="1440" w:hanging="720"/>
        <w:jc w:val="both"/>
        <w:rPr>
          <w:rFonts w:ascii="Arial" w:hAnsi="Arial" w:cs="Arial"/>
          <w:bCs/>
          <w:noProof/>
          <w:sz w:val="23"/>
          <w:szCs w:val="23"/>
          <w:lang w:eastAsia="en-ZA"/>
        </w:rPr>
      </w:pPr>
      <w:r w:rsidRPr="00666A2A">
        <w:rPr>
          <w:rFonts w:ascii="Arial" w:hAnsi="Arial" w:cs="Arial"/>
          <w:bCs/>
          <w:sz w:val="23"/>
          <w:szCs w:val="23"/>
        </w:rPr>
        <w:t>Statement of the need for, intended operation</w:t>
      </w:r>
      <w:r w:rsidR="002C3130">
        <w:rPr>
          <w:rFonts w:ascii="Arial" w:hAnsi="Arial" w:cs="Arial"/>
          <w:bCs/>
          <w:sz w:val="23"/>
          <w:szCs w:val="23"/>
        </w:rPr>
        <w:t xml:space="preserve"> of</w:t>
      </w:r>
      <w:r w:rsidRPr="00666A2A">
        <w:rPr>
          <w:rFonts w:ascii="Arial" w:hAnsi="Arial" w:cs="Arial"/>
          <w:bCs/>
          <w:sz w:val="23"/>
          <w:szCs w:val="23"/>
        </w:rPr>
        <w:t xml:space="preserve"> and expected impact of the </w:t>
      </w:r>
      <w:r w:rsidR="002E44BD" w:rsidRPr="00666A2A">
        <w:rPr>
          <w:rFonts w:ascii="Arial" w:hAnsi="Arial" w:cs="Arial"/>
          <w:bCs/>
          <w:sz w:val="23"/>
          <w:szCs w:val="23"/>
        </w:rPr>
        <w:t>proposed</w:t>
      </w:r>
      <w:r w:rsidRPr="00666A2A">
        <w:rPr>
          <w:rFonts w:ascii="Arial" w:hAnsi="Arial" w:cs="Arial"/>
          <w:bCs/>
          <w:sz w:val="23"/>
          <w:szCs w:val="23"/>
        </w:rPr>
        <w:t xml:space="preserve"> Standard</w:t>
      </w:r>
      <w:r w:rsidR="006D0E64" w:rsidRPr="00666A2A">
        <w:rPr>
          <w:rFonts w:ascii="Arial" w:hAnsi="Arial" w:cs="Arial"/>
          <w:bCs/>
          <w:sz w:val="23"/>
          <w:szCs w:val="23"/>
        </w:rPr>
        <w:t>;</w:t>
      </w:r>
      <w:r w:rsidR="00847D34" w:rsidRPr="00666A2A">
        <w:rPr>
          <w:rFonts w:ascii="Arial" w:hAnsi="Arial" w:cs="Arial"/>
          <w:bCs/>
          <w:sz w:val="23"/>
          <w:szCs w:val="23"/>
        </w:rPr>
        <w:t xml:space="preserve"> and</w:t>
      </w:r>
    </w:p>
    <w:p w14:paraId="666E5DE2" w14:textId="18E0ABCC" w:rsidR="00973D5E" w:rsidRPr="00666A2A" w:rsidRDefault="00847D34" w:rsidP="00DA5C13">
      <w:pPr>
        <w:pStyle w:val="ListParagraph"/>
        <w:numPr>
          <w:ilvl w:val="0"/>
          <w:numId w:val="2"/>
        </w:numPr>
        <w:spacing w:after="120" w:line="360" w:lineRule="auto"/>
        <w:ind w:left="1440" w:hanging="720"/>
        <w:jc w:val="both"/>
        <w:rPr>
          <w:rFonts w:ascii="Arial" w:hAnsi="Arial" w:cs="Arial"/>
          <w:bCs/>
          <w:noProof/>
          <w:sz w:val="23"/>
          <w:szCs w:val="23"/>
          <w:lang w:eastAsia="en-ZA"/>
        </w:rPr>
      </w:pPr>
      <w:r w:rsidRPr="00666A2A">
        <w:rPr>
          <w:rFonts w:ascii="Arial" w:hAnsi="Arial" w:cs="Arial"/>
          <w:bCs/>
          <w:sz w:val="23"/>
          <w:szCs w:val="23"/>
        </w:rPr>
        <w:t xml:space="preserve">A </w:t>
      </w:r>
      <w:r w:rsidR="0017218E">
        <w:rPr>
          <w:rFonts w:ascii="Arial" w:hAnsi="Arial" w:cs="Arial"/>
          <w:bCs/>
          <w:sz w:val="23"/>
          <w:szCs w:val="23"/>
        </w:rPr>
        <w:t>C</w:t>
      </w:r>
      <w:r w:rsidRPr="00666A2A">
        <w:rPr>
          <w:rFonts w:ascii="Arial" w:hAnsi="Arial" w:cs="Arial"/>
          <w:bCs/>
          <w:sz w:val="23"/>
          <w:szCs w:val="23"/>
        </w:rPr>
        <w:t xml:space="preserve">omment </w:t>
      </w:r>
      <w:r w:rsidR="0017218E">
        <w:rPr>
          <w:rFonts w:ascii="Arial" w:hAnsi="Arial" w:cs="Arial"/>
          <w:bCs/>
          <w:sz w:val="23"/>
          <w:szCs w:val="23"/>
        </w:rPr>
        <w:t>T</w:t>
      </w:r>
      <w:r w:rsidRPr="00666A2A">
        <w:rPr>
          <w:rFonts w:ascii="Arial" w:hAnsi="Arial" w:cs="Arial"/>
          <w:bCs/>
          <w:sz w:val="23"/>
          <w:szCs w:val="23"/>
        </w:rPr>
        <w:t>emplate</w:t>
      </w:r>
      <w:r w:rsidR="00973D5E" w:rsidRPr="00666A2A">
        <w:rPr>
          <w:rFonts w:ascii="Arial" w:hAnsi="Arial" w:cs="Arial"/>
          <w:bCs/>
          <w:sz w:val="23"/>
          <w:szCs w:val="23"/>
        </w:rPr>
        <w:t>.</w:t>
      </w:r>
    </w:p>
    <w:p w14:paraId="7DC6A8AD" w14:textId="4DD1454B" w:rsidR="00973D5E" w:rsidRPr="00666A2A" w:rsidRDefault="00523023" w:rsidP="00DA5C13">
      <w:pPr>
        <w:numPr>
          <w:ilvl w:val="1"/>
          <w:numId w:val="1"/>
        </w:numPr>
        <w:spacing w:after="120" w:line="360" w:lineRule="auto"/>
        <w:ind w:hanging="720"/>
        <w:jc w:val="both"/>
        <w:rPr>
          <w:rFonts w:ascii="Arial" w:hAnsi="Arial" w:cs="Arial"/>
          <w:sz w:val="23"/>
          <w:szCs w:val="23"/>
        </w:rPr>
      </w:pPr>
      <w:r w:rsidRPr="00666A2A">
        <w:rPr>
          <w:rFonts w:ascii="Arial" w:hAnsi="Arial" w:cs="Arial"/>
          <w:sz w:val="23"/>
          <w:szCs w:val="23"/>
        </w:rPr>
        <w:t xml:space="preserve">A total of </w:t>
      </w:r>
      <w:r w:rsidR="00542B5D" w:rsidRPr="00666A2A">
        <w:rPr>
          <w:rFonts w:ascii="Arial" w:hAnsi="Arial" w:cs="Arial"/>
          <w:sz w:val="23"/>
          <w:szCs w:val="23"/>
        </w:rPr>
        <w:t>90</w:t>
      </w:r>
      <w:r w:rsidR="0000291E" w:rsidRPr="00666A2A">
        <w:rPr>
          <w:rFonts w:ascii="Arial" w:hAnsi="Arial" w:cs="Arial"/>
          <w:sz w:val="23"/>
          <w:szCs w:val="23"/>
        </w:rPr>
        <w:t xml:space="preserve"> comments</w:t>
      </w:r>
      <w:r w:rsidR="0002072D" w:rsidRPr="00666A2A">
        <w:rPr>
          <w:rFonts w:ascii="Arial" w:hAnsi="Arial" w:cs="Arial"/>
          <w:sz w:val="23"/>
          <w:szCs w:val="23"/>
        </w:rPr>
        <w:t xml:space="preserve"> </w:t>
      </w:r>
      <w:r w:rsidR="00855049" w:rsidRPr="00666A2A">
        <w:rPr>
          <w:rFonts w:ascii="Arial" w:hAnsi="Arial" w:cs="Arial"/>
          <w:sz w:val="23"/>
          <w:szCs w:val="23"/>
        </w:rPr>
        <w:t xml:space="preserve">were received </w:t>
      </w:r>
      <w:r w:rsidR="0002072D" w:rsidRPr="00666A2A">
        <w:rPr>
          <w:rFonts w:ascii="Arial" w:hAnsi="Arial" w:cs="Arial"/>
          <w:sz w:val="23"/>
          <w:szCs w:val="23"/>
        </w:rPr>
        <w:t xml:space="preserve">from </w:t>
      </w:r>
      <w:r w:rsidR="007A1DD4" w:rsidRPr="00666A2A">
        <w:rPr>
          <w:rFonts w:ascii="Arial" w:hAnsi="Arial" w:cs="Arial"/>
          <w:sz w:val="23"/>
          <w:szCs w:val="23"/>
        </w:rPr>
        <w:t>8</w:t>
      </w:r>
      <w:r w:rsidR="000918D0" w:rsidRPr="00666A2A">
        <w:rPr>
          <w:rFonts w:ascii="Arial" w:hAnsi="Arial" w:cs="Arial"/>
          <w:sz w:val="23"/>
          <w:szCs w:val="23"/>
        </w:rPr>
        <w:t xml:space="preserve"> respondents</w:t>
      </w:r>
      <w:r w:rsidR="00855049" w:rsidRPr="00666A2A">
        <w:rPr>
          <w:rFonts w:ascii="Arial" w:hAnsi="Arial" w:cs="Arial"/>
          <w:sz w:val="23"/>
          <w:szCs w:val="23"/>
        </w:rPr>
        <w:t xml:space="preserve"> through the public consultation process</w:t>
      </w:r>
      <w:r w:rsidR="000918D0" w:rsidRPr="00666A2A">
        <w:rPr>
          <w:rFonts w:ascii="Arial" w:hAnsi="Arial" w:cs="Arial"/>
          <w:sz w:val="23"/>
          <w:szCs w:val="23"/>
        </w:rPr>
        <w:t xml:space="preserve">. </w:t>
      </w:r>
      <w:r w:rsidR="00E26AD3" w:rsidRPr="00666A2A">
        <w:rPr>
          <w:rFonts w:ascii="Arial" w:hAnsi="Arial" w:cs="Arial"/>
          <w:sz w:val="23"/>
          <w:szCs w:val="23"/>
        </w:rPr>
        <w:t>T</w:t>
      </w:r>
      <w:r w:rsidR="00855049" w:rsidRPr="00666A2A">
        <w:rPr>
          <w:rFonts w:ascii="Arial" w:hAnsi="Arial" w:cs="Arial"/>
          <w:sz w:val="23"/>
          <w:szCs w:val="23"/>
        </w:rPr>
        <w:t xml:space="preserve">he </w:t>
      </w:r>
      <w:r w:rsidR="00303902" w:rsidRPr="00666A2A">
        <w:rPr>
          <w:rFonts w:ascii="Arial" w:hAnsi="Arial" w:cs="Arial"/>
          <w:sz w:val="23"/>
          <w:szCs w:val="23"/>
        </w:rPr>
        <w:t xml:space="preserve">comments </w:t>
      </w:r>
      <w:r w:rsidR="00855049" w:rsidRPr="00666A2A">
        <w:rPr>
          <w:rFonts w:ascii="Arial" w:hAnsi="Arial" w:cs="Arial"/>
          <w:sz w:val="23"/>
          <w:szCs w:val="23"/>
        </w:rPr>
        <w:t xml:space="preserve">received </w:t>
      </w:r>
      <w:r w:rsidR="00005C9E" w:rsidRPr="00666A2A">
        <w:rPr>
          <w:rFonts w:ascii="Arial" w:hAnsi="Arial" w:cs="Arial"/>
          <w:sz w:val="23"/>
          <w:szCs w:val="23"/>
        </w:rPr>
        <w:t>were considered and where appropriate, these resulted in editorial refinements</w:t>
      </w:r>
      <w:r w:rsidR="001A2111" w:rsidRPr="00666A2A">
        <w:rPr>
          <w:rFonts w:ascii="Arial" w:hAnsi="Arial" w:cs="Arial"/>
          <w:sz w:val="23"/>
          <w:szCs w:val="23"/>
        </w:rPr>
        <w:t xml:space="preserve"> </w:t>
      </w:r>
      <w:r w:rsidR="00005C9E" w:rsidRPr="00666A2A">
        <w:rPr>
          <w:rFonts w:ascii="Arial" w:hAnsi="Arial" w:cs="Arial"/>
          <w:sz w:val="23"/>
          <w:szCs w:val="23"/>
        </w:rPr>
        <w:t xml:space="preserve">and updates to the </w:t>
      </w:r>
      <w:r w:rsidR="00315892" w:rsidRPr="00666A2A">
        <w:rPr>
          <w:rFonts w:ascii="Arial" w:hAnsi="Arial" w:cs="Arial"/>
          <w:sz w:val="23"/>
          <w:szCs w:val="23"/>
        </w:rPr>
        <w:t>proposed</w:t>
      </w:r>
      <w:r w:rsidR="00005C9E" w:rsidRPr="00666A2A">
        <w:rPr>
          <w:rFonts w:ascii="Arial" w:hAnsi="Arial" w:cs="Arial"/>
          <w:sz w:val="23"/>
          <w:szCs w:val="23"/>
        </w:rPr>
        <w:t xml:space="preserve"> Standard</w:t>
      </w:r>
      <w:r w:rsidR="007A0DD0" w:rsidRPr="00666A2A">
        <w:rPr>
          <w:rFonts w:ascii="Arial" w:hAnsi="Arial" w:cs="Arial"/>
          <w:sz w:val="23"/>
          <w:szCs w:val="23"/>
        </w:rPr>
        <w:t xml:space="preserve">. </w:t>
      </w:r>
    </w:p>
    <w:p w14:paraId="3ED1B641" w14:textId="0CF07968" w:rsidR="00825BE0" w:rsidRPr="00666A2A" w:rsidRDefault="00973D5E" w:rsidP="00DA5C13">
      <w:pPr>
        <w:numPr>
          <w:ilvl w:val="1"/>
          <w:numId w:val="1"/>
        </w:numPr>
        <w:spacing w:after="120" w:line="360" w:lineRule="auto"/>
        <w:ind w:hanging="720"/>
        <w:jc w:val="both"/>
        <w:rPr>
          <w:rFonts w:ascii="Arial" w:hAnsi="Arial" w:cs="Arial"/>
          <w:sz w:val="23"/>
          <w:szCs w:val="23"/>
        </w:rPr>
      </w:pPr>
      <w:r w:rsidRPr="00666A2A">
        <w:rPr>
          <w:rFonts w:ascii="Arial" w:hAnsi="Arial" w:cs="Arial"/>
          <w:sz w:val="23"/>
          <w:szCs w:val="23"/>
        </w:rPr>
        <w:t>A general account of issues raised during</w:t>
      </w:r>
      <w:r w:rsidR="00F97B20" w:rsidRPr="00666A2A">
        <w:rPr>
          <w:rFonts w:ascii="Arial" w:hAnsi="Arial" w:cs="Arial"/>
          <w:sz w:val="23"/>
          <w:szCs w:val="23"/>
        </w:rPr>
        <w:t xml:space="preserve"> the consultation process</w:t>
      </w:r>
      <w:r w:rsidR="00025528" w:rsidRPr="00666A2A">
        <w:rPr>
          <w:rFonts w:ascii="Arial" w:hAnsi="Arial" w:cs="Arial"/>
          <w:sz w:val="23"/>
          <w:szCs w:val="23"/>
        </w:rPr>
        <w:t xml:space="preserve"> and the response of </w:t>
      </w:r>
      <w:r w:rsidR="00303902" w:rsidRPr="00666A2A">
        <w:rPr>
          <w:rFonts w:ascii="Arial" w:hAnsi="Arial" w:cs="Arial"/>
          <w:sz w:val="23"/>
          <w:szCs w:val="23"/>
        </w:rPr>
        <w:t xml:space="preserve">the </w:t>
      </w:r>
      <w:r w:rsidR="007C0203" w:rsidRPr="00666A2A">
        <w:rPr>
          <w:rFonts w:ascii="Arial" w:hAnsi="Arial" w:cs="Arial"/>
          <w:sz w:val="23"/>
          <w:szCs w:val="23"/>
        </w:rPr>
        <w:t xml:space="preserve">Prudential </w:t>
      </w:r>
      <w:proofErr w:type="gramStart"/>
      <w:r w:rsidR="006474BB" w:rsidRPr="00666A2A">
        <w:rPr>
          <w:rFonts w:ascii="Arial" w:hAnsi="Arial" w:cs="Arial"/>
          <w:sz w:val="23"/>
          <w:szCs w:val="23"/>
        </w:rPr>
        <w:t>Authority</w:t>
      </w:r>
      <w:proofErr w:type="gramEnd"/>
      <w:r w:rsidR="00EF6A71" w:rsidRPr="00666A2A">
        <w:rPr>
          <w:rFonts w:ascii="Arial" w:hAnsi="Arial" w:cs="Arial"/>
          <w:sz w:val="23"/>
          <w:szCs w:val="23"/>
        </w:rPr>
        <w:t xml:space="preserve"> and</w:t>
      </w:r>
      <w:r w:rsidR="00230C2A" w:rsidRPr="00666A2A">
        <w:rPr>
          <w:rFonts w:ascii="Arial" w:hAnsi="Arial" w:cs="Arial"/>
          <w:sz w:val="23"/>
          <w:szCs w:val="23"/>
        </w:rPr>
        <w:t xml:space="preserve"> the Reserve Bank (the Authorities)</w:t>
      </w:r>
      <w:r w:rsidR="00025528" w:rsidRPr="00666A2A">
        <w:rPr>
          <w:rFonts w:ascii="Arial" w:hAnsi="Arial" w:cs="Arial"/>
          <w:sz w:val="23"/>
          <w:szCs w:val="23"/>
        </w:rPr>
        <w:t xml:space="preserve"> </w:t>
      </w:r>
      <w:r w:rsidR="00855049" w:rsidRPr="00666A2A">
        <w:rPr>
          <w:rFonts w:ascii="Arial" w:hAnsi="Arial" w:cs="Arial"/>
          <w:sz w:val="23"/>
          <w:szCs w:val="23"/>
        </w:rPr>
        <w:t>is</w:t>
      </w:r>
      <w:r w:rsidR="00F97B20" w:rsidRPr="00666A2A">
        <w:rPr>
          <w:rFonts w:ascii="Arial" w:hAnsi="Arial" w:cs="Arial"/>
          <w:sz w:val="23"/>
          <w:szCs w:val="23"/>
        </w:rPr>
        <w:t xml:space="preserve"> </w:t>
      </w:r>
      <w:r w:rsidR="00B60E67" w:rsidRPr="00666A2A">
        <w:rPr>
          <w:rFonts w:ascii="Arial" w:hAnsi="Arial" w:cs="Arial"/>
          <w:sz w:val="23"/>
          <w:szCs w:val="23"/>
        </w:rPr>
        <w:t>set out</w:t>
      </w:r>
      <w:r w:rsidR="00F97B20" w:rsidRPr="00666A2A">
        <w:rPr>
          <w:rFonts w:ascii="Arial" w:hAnsi="Arial" w:cs="Arial"/>
          <w:sz w:val="23"/>
          <w:szCs w:val="23"/>
        </w:rPr>
        <w:t xml:space="preserve"> </w:t>
      </w:r>
      <w:r w:rsidR="000B5952" w:rsidRPr="00666A2A">
        <w:rPr>
          <w:rFonts w:ascii="Arial" w:hAnsi="Arial" w:cs="Arial"/>
          <w:sz w:val="23"/>
          <w:szCs w:val="23"/>
        </w:rPr>
        <w:t>in</w:t>
      </w:r>
      <w:r w:rsidR="007C0203" w:rsidRPr="00666A2A">
        <w:rPr>
          <w:rFonts w:ascii="Arial" w:hAnsi="Arial" w:cs="Arial"/>
          <w:sz w:val="23"/>
          <w:szCs w:val="23"/>
        </w:rPr>
        <w:t xml:space="preserve"> </w:t>
      </w:r>
      <w:r w:rsidR="000B5952" w:rsidRPr="00666A2A">
        <w:rPr>
          <w:rFonts w:ascii="Arial" w:hAnsi="Arial" w:cs="Arial"/>
          <w:b/>
          <w:bCs/>
          <w:sz w:val="23"/>
          <w:szCs w:val="23"/>
        </w:rPr>
        <w:t>Table 1</w:t>
      </w:r>
      <w:r w:rsidR="000B5952" w:rsidRPr="00666A2A">
        <w:rPr>
          <w:rFonts w:ascii="Arial" w:hAnsi="Arial" w:cs="Arial"/>
          <w:sz w:val="23"/>
          <w:szCs w:val="23"/>
        </w:rPr>
        <w:t xml:space="preserve"> </w:t>
      </w:r>
      <w:r w:rsidR="00F97B20" w:rsidRPr="00666A2A">
        <w:rPr>
          <w:rFonts w:ascii="Arial" w:hAnsi="Arial" w:cs="Arial"/>
          <w:sz w:val="23"/>
          <w:szCs w:val="23"/>
        </w:rPr>
        <w:t>below</w:t>
      </w:r>
      <w:r w:rsidR="00825BE0" w:rsidRPr="00666A2A">
        <w:rPr>
          <w:rFonts w:ascii="Arial" w:hAnsi="Arial" w:cs="Arial"/>
          <w:sz w:val="23"/>
          <w:szCs w:val="23"/>
        </w:rPr>
        <w:t>.</w:t>
      </w:r>
      <w:r w:rsidR="0072256E" w:rsidRPr="00666A2A">
        <w:rPr>
          <w:rFonts w:ascii="Arial" w:hAnsi="Arial" w:cs="Arial"/>
          <w:sz w:val="23"/>
          <w:szCs w:val="23"/>
        </w:rPr>
        <w:t xml:space="preserve"> </w:t>
      </w:r>
      <w:r w:rsidR="00825BE0" w:rsidRPr="00666A2A">
        <w:rPr>
          <w:rFonts w:ascii="Arial" w:hAnsi="Arial" w:cs="Arial"/>
          <w:sz w:val="23"/>
          <w:szCs w:val="23"/>
        </w:rPr>
        <w:t xml:space="preserve">Details of </w:t>
      </w:r>
      <w:r w:rsidR="00303902" w:rsidRPr="00666A2A">
        <w:rPr>
          <w:rFonts w:ascii="Arial" w:hAnsi="Arial" w:cs="Arial"/>
          <w:sz w:val="23"/>
          <w:szCs w:val="23"/>
        </w:rPr>
        <w:t xml:space="preserve">the </w:t>
      </w:r>
      <w:r w:rsidR="00825BE0" w:rsidRPr="00666A2A">
        <w:rPr>
          <w:rFonts w:ascii="Arial" w:hAnsi="Arial" w:cs="Arial"/>
          <w:sz w:val="23"/>
          <w:szCs w:val="23"/>
        </w:rPr>
        <w:t xml:space="preserve">commentators and the full set of comments and </w:t>
      </w:r>
      <w:r w:rsidR="00230C2A" w:rsidRPr="00666A2A">
        <w:rPr>
          <w:rFonts w:ascii="Arial" w:hAnsi="Arial" w:cs="Arial"/>
          <w:sz w:val="23"/>
          <w:szCs w:val="23"/>
        </w:rPr>
        <w:t>the Authoritie</w:t>
      </w:r>
      <w:r w:rsidR="006474BB" w:rsidRPr="00666A2A">
        <w:rPr>
          <w:rFonts w:ascii="Arial" w:hAnsi="Arial" w:cs="Arial"/>
          <w:sz w:val="23"/>
          <w:szCs w:val="23"/>
        </w:rPr>
        <w:t xml:space="preserve">s’ </w:t>
      </w:r>
      <w:r w:rsidR="00825BE0" w:rsidRPr="00666A2A">
        <w:rPr>
          <w:rFonts w:ascii="Arial" w:hAnsi="Arial" w:cs="Arial"/>
          <w:sz w:val="23"/>
          <w:szCs w:val="23"/>
        </w:rPr>
        <w:t xml:space="preserve">responses are detailed in </w:t>
      </w:r>
      <w:r w:rsidR="00825BE0" w:rsidRPr="00666A2A">
        <w:rPr>
          <w:rFonts w:ascii="Arial" w:hAnsi="Arial" w:cs="Arial"/>
          <w:b/>
          <w:bCs/>
          <w:sz w:val="23"/>
          <w:szCs w:val="23"/>
        </w:rPr>
        <w:t xml:space="preserve">Table </w:t>
      </w:r>
      <w:r w:rsidR="00310BB8" w:rsidRPr="00666A2A">
        <w:rPr>
          <w:rFonts w:ascii="Arial" w:hAnsi="Arial" w:cs="Arial"/>
          <w:b/>
          <w:bCs/>
          <w:sz w:val="23"/>
          <w:szCs w:val="23"/>
        </w:rPr>
        <w:t>2</w:t>
      </w:r>
      <w:r w:rsidR="00825BE0" w:rsidRPr="00666A2A">
        <w:rPr>
          <w:rFonts w:ascii="Arial" w:hAnsi="Arial" w:cs="Arial"/>
          <w:sz w:val="23"/>
          <w:szCs w:val="23"/>
        </w:rPr>
        <w:t xml:space="preserve"> and </w:t>
      </w:r>
      <w:r w:rsidR="00825BE0" w:rsidRPr="00666A2A">
        <w:rPr>
          <w:rFonts w:ascii="Arial" w:hAnsi="Arial" w:cs="Arial"/>
          <w:b/>
          <w:bCs/>
          <w:sz w:val="23"/>
          <w:szCs w:val="23"/>
        </w:rPr>
        <w:t>Table</w:t>
      </w:r>
      <w:r w:rsidR="00D65E9F" w:rsidRPr="00666A2A">
        <w:rPr>
          <w:rFonts w:ascii="Arial" w:hAnsi="Arial" w:cs="Arial"/>
          <w:b/>
          <w:bCs/>
          <w:sz w:val="23"/>
          <w:szCs w:val="23"/>
        </w:rPr>
        <w:t> </w:t>
      </w:r>
      <w:r w:rsidR="005F7C9F" w:rsidRPr="00666A2A">
        <w:rPr>
          <w:rFonts w:ascii="Arial" w:hAnsi="Arial" w:cs="Arial"/>
          <w:b/>
          <w:bCs/>
          <w:sz w:val="23"/>
          <w:szCs w:val="23"/>
        </w:rPr>
        <w:t>2.1</w:t>
      </w:r>
      <w:r w:rsidR="00CC1D66" w:rsidRPr="00666A2A">
        <w:rPr>
          <w:rFonts w:ascii="Arial" w:hAnsi="Arial" w:cs="Arial"/>
          <w:sz w:val="23"/>
          <w:szCs w:val="23"/>
        </w:rPr>
        <w:t xml:space="preserve"> below.</w:t>
      </w:r>
    </w:p>
    <w:p w14:paraId="11F4DB93" w14:textId="54A32B85" w:rsidR="00EE50EE" w:rsidRPr="00666A2A" w:rsidRDefault="00EE50EE" w:rsidP="00DA5C13">
      <w:pPr>
        <w:numPr>
          <w:ilvl w:val="1"/>
          <w:numId w:val="1"/>
        </w:numPr>
        <w:spacing w:after="120" w:line="360" w:lineRule="auto"/>
        <w:ind w:hanging="720"/>
        <w:jc w:val="both"/>
        <w:rPr>
          <w:rFonts w:ascii="Arial" w:hAnsi="Arial" w:cs="Arial"/>
          <w:sz w:val="23"/>
          <w:szCs w:val="23"/>
          <w:lang w:val="en-US"/>
        </w:rPr>
      </w:pPr>
      <w:r w:rsidRPr="00666A2A">
        <w:rPr>
          <w:rFonts w:ascii="Arial" w:hAnsi="Arial" w:cs="Arial"/>
          <w:sz w:val="23"/>
          <w:szCs w:val="23"/>
        </w:rPr>
        <w:t xml:space="preserve">The </w:t>
      </w:r>
      <w:r w:rsidR="00CC2578" w:rsidRPr="00666A2A">
        <w:rPr>
          <w:rFonts w:ascii="Arial" w:hAnsi="Arial" w:cs="Arial"/>
          <w:sz w:val="23"/>
          <w:szCs w:val="23"/>
        </w:rPr>
        <w:t xml:space="preserve">published </w:t>
      </w:r>
      <w:r w:rsidRPr="00666A2A">
        <w:rPr>
          <w:rFonts w:ascii="Arial" w:hAnsi="Arial" w:cs="Arial"/>
          <w:sz w:val="23"/>
          <w:szCs w:val="23"/>
        </w:rPr>
        <w:t xml:space="preserve">comment template included </w:t>
      </w:r>
      <w:r w:rsidR="00CC2578" w:rsidRPr="00666A2A">
        <w:rPr>
          <w:rFonts w:ascii="Arial" w:hAnsi="Arial" w:cs="Arial"/>
          <w:sz w:val="23"/>
          <w:szCs w:val="23"/>
          <w:lang w:val="en-US"/>
        </w:rPr>
        <w:t xml:space="preserve">a set of questions to solicit industry inputs on the expected impact of implementing the </w:t>
      </w:r>
      <w:r w:rsidR="003D0A6A" w:rsidRPr="00666A2A">
        <w:rPr>
          <w:rFonts w:ascii="Arial" w:hAnsi="Arial" w:cs="Arial"/>
          <w:sz w:val="23"/>
          <w:szCs w:val="23"/>
          <w:lang w:val="en-US"/>
        </w:rPr>
        <w:t>proposed</w:t>
      </w:r>
      <w:r w:rsidR="007F4579" w:rsidRPr="00666A2A">
        <w:rPr>
          <w:rFonts w:ascii="Arial" w:hAnsi="Arial" w:cs="Arial"/>
          <w:sz w:val="23"/>
          <w:szCs w:val="23"/>
          <w:lang w:val="en-US"/>
        </w:rPr>
        <w:t xml:space="preserve"> </w:t>
      </w:r>
      <w:r w:rsidR="00CC2578" w:rsidRPr="00666A2A">
        <w:rPr>
          <w:rFonts w:ascii="Arial" w:hAnsi="Arial" w:cs="Arial"/>
          <w:sz w:val="23"/>
          <w:szCs w:val="23"/>
          <w:lang w:val="en-US"/>
        </w:rPr>
        <w:t xml:space="preserve">Standard. </w:t>
      </w:r>
      <w:r w:rsidR="00303902" w:rsidRPr="00666A2A">
        <w:rPr>
          <w:rFonts w:ascii="Arial" w:hAnsi="Arial" w:cs="Arial"/>
          <w:sz w:val="23"/>
          <w:szCs w:val="23"/>
          <w:lang w:val="en-US"/>
        </w:rPr>
        <w:t xml:space="preserve">The </w:t>
      </w:r>
      <w:r w:rsidR="00B70433" w:rsidRPr="00666A2A">
        <w:rPr>
          <w:rFonts w:ascii="Arial" w:hAnsi="Arial" w:cs="Arial"/>
          <w:sz w:val="23"/>
          <w:szCs w:val="23"/>
          <w:lang w:val="en-US"/>
        </w:rPr>
        <w:t xml:space="preserve">industry </w:t>
      </w:r>
      <w:r w:rsidR="006474BB" w:rsidRPr="00666A2A">
        <w:rPr>
          <w:rFonts w:ascii="Arial" w:hAnsi="Arial" w:cs="Arial"/>
          <w:sz w:val="23"/>
          <w:szCs w:val="23"/>
          <w:lang w:val="en-US"/>
        </w:rPr>
        <w:t>inputs</w:t>
      </w:r>
      <w:r w:rsidR="00303902" w:rsidRPr="00666A2A">
        <w:rPr>
          <w:rFonts w:ascii="Arial" w:hAnsi="Arial" w:cs="Arial"/>
          <w:sz w:val="23"/>
          <w:szCs w:val="23"/>
          <w:lang w:val="en-US"/>
        </w:rPr>
        <w:t xml:space="preserve"> received in this regard have been used to update the statement of expected impact of the </w:t>
      </w:r>
      <w:r w:rsidR="003D0A6A" w:rsidRPr="00666A2A">
        <w:rPr>
          <w:rFonts w:ascii="Arial" w:hAnsi="Arial" w:cs="Arial"/>
          <w:sz w:val="23"/>
          <w:szCs w:val="23"/>
          <w:lang w:val="en-US"/>
        </w:rPr>
        <w:t>proposed</w:t>
      </w:r>
      <w:r w:rsidR="00B374DF" w:rsidRPr="00666A2A">
        <w:rPr>
          <w:rFonts w:ascii="Arial" w:hAnsi="Arial" w:cs="Arial"/>
          <w:sz w:val="23"/>
          <w:szCs w:val="23"/>
          <w:lang w:val="en-US"/>
        </w:rPr>
        <w:t xml:space="preserve"> </w:t>
      </w:r>
      <w:r w:rsidR="00303902" w:rsidRPr="00666A2A">
        <w:rPr>
          <w:rFonts w:ascii="Arial" w:hAnsi="Arial" w:cs="Arial"/>
          <w:sz w:val="23"/>
          <w:szCs w:val="23"/>
          <w:lang w:val="en-US"/>
        </w:rPr>
        <w:t xml:space="preserve">Standard. </w:t>
      </w:r>
    </w:p>
    <w:p w14:paraId="2A10C9FA" w14:textId="18681506" w:rsidR="00EE50EE" w:rsidRPr="00666A2A" w:rsidRDefault="00EE50EE" w:rsidP="00DA5C13">
      <w:pPr>
        <w:numPr>
          <w:ilvl w:val="1"/>
          <w:numId w:val="1"/>
        </w:numPr>
        <w:spacing w:after="120" w:line="360" w:lineRule="auto"/>
        <w:ind w:hanging="720"/>
        <w:jc w:val="both"/>
        <w:rPr>
          <w:rFonts w:ascii="Arial" w:hAnsi="Arial" w:cs="Arial"/>
          <w:sz w:val="23"/>
          <w:szCs w:val="23"/>
        </w:rPr>
      </w:pPr>
      <w:r w:rsidRPr="00666A2A">
        <w:rPr>
          <w:rFonts w:ascii="Arial" w:hAnsi="Arial" w:cs="Arial"/>
          <w:sz w:val="23"/>
          <w:szCs w:val="23"/>
        </w:rPr>
        <w:t xml:space="preserve">As part of the public consultation process, </w:t>
      </w:r>
      <w:r w:rsidR="00EA4BA9" w:rsidRPr="00666A2A">
        <w:rPr>
          <w:rFonts w:ascii="Arial" w:hAnsi="Arial" w:cs="Arial"/>
          <w:sz w:val="23"/>
          <w:szCs w:val="23"/>
        </w:rPr>
        <w:t xml:space="preserve">the South African Securities Lending Association, the International Swaps and Derivatives Association as well as the International Capital Markets Association jointly with the International Securities Lending Association </w:t>
      </w:r>
      <w:r w:rsidR="00523023" w:rsidRPr="00666A2A">
        <w:rPr>
          <w:rFonts w:ascii="Arial" w:hAnsi="Arial" w:cs="Arial"/>
          <w:sz w:val="23"/>
          <w:szCs w:val="23"/>
        </w:rPr>
        <w:t>made submissions</w:t>
      </w:r>
      <w:r w:rsidR="00EA4BA9" w:rsidRPr="00666A2A">
        <w:rPr>
          <w:rFonts w:ascii="Arial" w:hAnsi="Arial" w:cs="Arial"/>
          <w:sz w:val="23"/>
          <w:szCs w:val="23"/>
        </w:rPr>
        <w:t xml:space="preserve"> </w:t>
      </w:r>
      <w:r w:rsidR="00855049" w:rsidRPr="00666A2A">
        <w:rPr>
          <w:rFonts w:ascii="Arial" w:hAnsi="Arial" w:cs="Arial"/>
          <w:sz w:val="23"/>
          <w:szCs w:val="23"/>
        </w:rPr>
        <w:t>and proposals on certain</w:t>
      </w:r>
      <w:r w:rsidRPr="00666A2A">
        <w:rPr>
          <w:rFonts w:ascii="Arial" w:hAnsi="Arial" w:cs="Arial"/>
          <w:sz w:val="23"/>
          <w:szCs w:val="23"/>
        </w:rPr>
        <w:t xml:space="preserve"> policy issues</w:t>
      </w:r>
      <w:r w:rsidR="00855049" w:rsidRPr="00666A2A">
        <w:rPr>
          <w:rFonts w:ascii="Arial" w:hAnsi="Arial" w:cs="Arial"/>
          <w:sz w:val="23"/>
          <w:szCs w:val="23"/>
        </w:rPr>
        <w:t xml:space="preserve"> that</w:t>
      </w:r>
      <w:r w:rsidR="00B60E67" w:rsidRPr="00666A2A">
        <w:rPr>
          <w:rFonts w:ascii="Arial" w:hAnsi="Arial" w:cs="Arial"/>
          <w:sz w:val="23"/>
          <w:szCs w:val="23"/>
        </w:rPr>
        <w:t>, while relevant for the broader resolution framework</w:t>
      </w:r>
      <w:r w:rsidR="0059388F" w:rsidRPr="00666A2A">
        <w:rPr>
          <w:rFonts w:ascii="Arial" w:hAnsi="Arial" w:cs="Arial"/>
          <w:sz w:val="23"/>
          <w:szCs w:val="23"/>
        </w:rPr>
        <w:t xml:space="preserve"> and the Act in particular</w:t>
      </w:r>
      <w:r w:rsidR="00B60E67" w:rsidRPr="00666A2A">
        <w:rPr>
          <w:rFonts w:ascii="Arial" w:hAnsi="Arial" w:cs="Arial"/>
          <w:sz w:val="23"/>
          <w:szCs w:val="23"/>
        </w:rPr>
        <w:t>,</w:t>
      </w:r>
      <w:r w:rsidRPr="00666A2A">
        <w:rPr>
          <w:rFonts w:ascii="Arial" w:hAnsi="Arial" w:cs="Arial"/>
          <w:sz w:val="23"/>
          <w:szCs w:val="23"/>
        </w:rPr>
        <w:t xml:space="preserve"> were found to fall </w:t>
      </w:r>
      <w:r w:rsidR="00B60E67" w:rsidRPr="00666A2A">
        <w:rPr>
          <w:rFonts w:ascii="Arial" w:hAnsi="Arial" w:cs="Arial"/>
          <w:sz w:val="23"/>
          <w:szCs w:val="23"/>
        </w:rPr>
        <w:t xml:space="preserve">beyond </w:t>
      </w:r>
      <w:r w:rsidRPr="00666A2A">
        <w:rPr>
          <w:rFonts w:ascii="Arial" w:hAnsi="Arial" w:cs="Arial"/>
          <w:sz w:val="23"/>
          <w:szCs w:val="23"/>
        </w:rPr>
        <w:t xml:space="preserve">the scope of the </w:t>
      </w:r>
      <w:r w:rsidR="002E44BD" w:rsidRPr="00666A2A">
        <w:rPr>
          <w:rFonts w:ascii="Arial" w:hAnsi="Arial" w:cs="Arial"/>
          <w:sz w:val="23"/>
          <w:szCs w:val="23"/>
        </w:rPr>
        <w:t>proposed</w:t>
      </w:r>
      <w:r w:rsidR="00B60E67" w:rsidRPr="00666A2A">
        <w:rPr>
          <w:rFonts w:ascii="Arial" w:hAnsi="Arial" w:cs="Arial"/>
          <w:sz w:val="23"/>
          <w:szCs w:val="23"/>
        </w:rPr>
        <w:t xml:space="preserve"> </w:t>
      </w:r>
      <w:r w:rsidRPr="00666A2A">
        <w:rPr>
          <w:rFonts w:ascii="Arial" w:hAnsi="Arial" w:cs="Arial"/>
          <w:sz w:val="23"/>
          <w:szCs w:val="23"/>
        </w:rPr>
        <w:t xml:space="preserve">Standard. </w:t>
      </w:r>
      <w:r w:rsidR="00B374DF" w:rsidRPr="00666A2A">
        <w:rPr>
          <w:rFonts w:ascii="Arial" w:hAnsi="Arial" w:cs="Arial"/>
          <w:sz w:val="23"/>
          <w:szCs w:val="23"/>
        </w:rPr>
        <w:t xml:space="preserve">To ensure that the making of this prudential standard continues without undue interruptions, </w:t>
      </w:r>
      <w:r w:rsidR="00855049" w:rsidRPr="00666A2A">
        <w:rPr>
          <w:rFonts w:ascii="Arial" w:hAnsi="Arial" w:cs="Arial"/>
          <w:sz w:val="23"/>
          <w:szCs w:val="23"/>
        </w:rPr>
        <w:t xml:space="preserve">separate engagements have been </w:t>
      </w:r>
      <w:r w:rsidR="00B60E67" w:rsidRPr="00666A2A">
        <w:rPr>
          <w:rFonts w:ascii="Arial" w:hAnsi="Arial" w:cs="Arial"/>
          <w:sz w:val="23"/>
          <w:szCs w:val="23"/>
        </w:rPr>
        <w:t>initiate</w:t>
      </w:r>
      <w:r w:rsidR="00855049" w:rsidRPr="00666A2A">
        <w:rPr>
          <w:rFonts w:ascii="Arial" w:hAnsi="Arial" w:cs="Arial"/>
          <w:sz w:val="23"/>
          <w:szCs w:val="23"/>
        </w:rPr>
        <w:t>d</w:t>
      </w:r>
      <w:r w:rsidR="00B60E67" w:rsidRPr="00666A2A">
        <w:rPr>
          <w:rFonts w:ascii="Arial" w:hAnsi="Arial" w:cs="Arial"/>
          <w:sz w:val="23"/>
          <w:szCs w:val="23"/>
        </w:rPr>
        <w:t xml:space="preserve"> with the </w:t>
      </w:r>
      <w:r w:rsidR="00855049" w:rsidRPr="00666A2A">
        <w:rPr>
          <w:rFonts w:ascii="Arial" w:hAnsi="Arial" w:cs="Arial"/>
          <w:sz w:val="23"/>
          <w:szCs w:val="23"/>
        </w:rPr>
        <w:t>industry bodies concerned</w:t>
      </w:r>
      <w:r w:rsidR="00B60E67" w:rsidRPr="00666A2A">
        <w:rPr>
          <w:rFonts w:ascii="Arial" w:hAnsi="Arial" w:cs="Arial"/>
          <w:sz w:val="23"/>
          <w:szCs w:val="23"/>
        </w:rPr>
        <w:t xml:space="preserve"> </w:t>
      </w:r>
      <w:r w:rsidR="00B374DF" w:rsidRPr="00666A2A">
        <w:rPr>
          <w:rFonts w:ascii="Arial" w:hAnsi="Arial" w:cs="Arial"/>
          <w:sz w:val="23"/>
          <w:szCs w:val="23"/>
        </w:rPr>
        <w:t>a</w:t>
      </w:r>
      <w:r w:rsidR="00855049" w:rsidRPr="00666A2A">
        <w:rPr>
          <w:rFonts w:ascii="Arial" w:hAnsi="Arial" w:cs="Arial"/>
          <w:sz w:val="23"/>
          <w:szCs w:val="23"/>
        </w:rPr>
        <w:t xml:space="preserve">s well as </w:t>
      </w:r>
      <w:r w:rsidR="000D3CD7" w:rsidRPr="00666A2A">
        <w:rPr>
          <w:rFonts w:ascii="Arial" w:hAnsi="Arial" w:cs="Arial"/>
          <w:sz w:val="23"/>
          <w:szCs w:val="23"/>
        </w:rPr>
        <w:t xml:space="preserve">the </w:t>
      </w:r>
      <w:r w:rsidR="00855049" w:rsidRPr="00666A2A">
        <w:rPr>
          <w:rFonts w:ascii="Arial" w:hAnsi="Arial" w:cs="Arial"/>
          <w:sz w:val="23"/>
          <w:szCs w:val="23"/>
        </w:rPr>
        <w:t xml:space="preserve">other </w:t>
      </w:r>
      <w:r w:rsidR="00B374DF" w:rsidRPr="00666A2A">
        <w:rPr>
          <w:rFonts w:ascii="Arial" w:hAnsi="Arial" w:cs="Arial"/>
          <w:sz w:val="23"/>
          <w:szCs w:val="23"/>
        </w:rPr>
        <w:t xml:space="preserve">authorities involved in the development of the South African resolution policy </w:t>
      </w:r>
      <w:r w:rsidR="00B60E67" w:rsidRPr="00666A2A">
        <w:rPr>
          <w:rFonts w:ascii="Arial" w:hAnsi="Arial" w:cs="Arial"/>
          <w:sz w:val="23"/>
          <w:szCs w:val="23"/>
        </w:rPr>
        <w:t xml:space="preserve">on these matters. </w:t>
      </w:r>
      <w:r w:rsidR="0059388F" w:rsidRPr="00666A2A">
        <w:rPr>
          <w:rFonts w:ascii="Arial" w:hAnsi="Arial" w:cs="Arial"/>
          <w:sz w:val="23"/>
          <w:szCs w:val="23"/>
        </w:rPr>
        <w:t xml:space="preserve">A </w:t>
      </w:r>
      <w:r w:rsidR="00EE384F" w:rsidRPr="00666A2A">
        <w:rPr>
          <w:rFonts w:ascii="Arial" w:hAnsi="Arial" w:cs="Arial"/>
          <w:sz w:val="23"/>
          <w:szCs w:val="23"/>
        </w:rPr>
        <w:t xml:space="preserve">themed </w:t>
      </w:r>
      <w:r w:rsidR="0059388F" w:rsidRPr="00666A2A">
        <w:rPr>
          <w:rFonts w:ascii="Arial" w:hAnsi="Arial" w:cs="Arial"/>
          <w:sz w:val="23"/>
          <w:szCs w:val="23"/>
        </w:rPr>
        <w:t>summary of t</w:t>
      </w:r>
      <w:r w:rsidRPr="00666A2A">
        <w:rPr>
          <w:rFonts w:ascii="Arial" w:hAnsi="Arial" w:cs="Arial"/>
          <w:sz w:val="23"/>
          <w:szCs w:val="23"/>
        </w:rPr>
        <w:t xml:space="preserve">hese issues </w:t>
      </w:r>
      <w:r w:rsidR="0059388F" w:rsidRPr="00666A2A">
        <w:rPr>
          <w:rFonts w:ascii="Arial" w:hAnsi="Arial" w:cs="Arial"/>
          <w:sz w:val="23"/>
          <w:szCs w:val="23"/>
        </w:rPr>
        <w:t>is provided</w:t>
      </w:r>
      <w:r w:rsidRPr="00666A2A">
        <w:rPr>
          <w:rFonts w:ascii="Arial" w:hAnsi="Arial" w:cs="Arial"/>
          <w:sz w:val="23"/>
          <w:szCs w:val="23"/>
        </w:rPr>
        <w:t xml:space="preserve"> in </w:t>
      </w:r>
      <w:r w:rsidRPr="00666A2A">
        <w:rPr>
          <w:rFonts w:ascii="Arial" w:hAnsi="Arial" w:cs="Arial"/>
          <w:b/>
          <w:bCs/>
          <w:sz w:val="23"/>
          <w:szCs w:val="23"/>
        </w:rPr>
        <w:t xml:space="preserve">Table </w:t>
      </w:r>
      <w:r w:rsidR="00FF7CA2" w:rsidRPr="00666A2A">
        <w:rPr>
          <w:rFonts w:ascii="Arial" w:hAnsi="Arial" w:cs="Arial"/>
          <w:b/>
          <w:bCs/>
          <w:sz w:val="23"/>
          <w:szCs w:val="23"/>
        </w:rPr>
        <w:t>3</w:t>
      </w:r>
      <w:r w:rsidRPr="00666A2A">
        <w:rPr>
          <w:rFonts w:ascii="Arial" w:hAnsi="Arial" w:cs="Arial"/>
          <w:sz w:val="23"/>
          <w:szCs w:val="23"/>
        </w:rPr>
        <w:t xml:space="preserve"> below.</w:t>
      </w:r>
    </w:p>
    <w:p w14:paraId="1780B20C" w14:textId="599B9EAC" w:rsidR="005F7BB6" w:rsidRPr="00666A2A" w:rsidRDefault="005F7BB6" w:rsidP="000F5AD3">
      <w:pPr>
        <w:spacing w:after="0" w:line="240" w:lineRule="auto"/>
        <w:rPr>
          <w:rFonts w:ascii="Arial" w:hAnsi="Arial" w:cs="Arial"/>
          <w:sz w:val="23"/>
          <w:szCs w:val="23"/>
        </w:rPr>
      </w:pPr>
    </w:p>
    <w:p w14:paraId="42230221" w14:textId="6AB5153E" w:rsidR="00B67471" w:rsidRPr="00666A2A" w:rsidRDefault="00B67471" w:rsidP="000F5AD3">
      <w:pPr>
        <w:spacing w:after="0" w:line="240" w:lineRule="auto"/>
        <w:rPr>
          <w:rFonts w:ascii="Arial" w:hAnsi="Arial" w:cs="Arial"/>
          <w:sz w:val="23"/>
          <w:szCs w:val="23"/>
        </w:rPr>
      </w:pPr>
      <w:r w:rsidRPr="00666A2A">
        <w:rPr>
          <w:rFonts w:ascii="Arial" w:hAnsi="Arial" w:cs="Arial"/>
          <w:b/>
          <w:bCs/>
          <w:sz w:val="23"/>
          <w:szCs w:val="23"/>
        </w:rPr>
        <w:t>Table 1</w:t>
      </w:r>
      <w:r w:rsidR="000D3CD7" w:rsidRPr="00666A2A">
        <w:rPr>
          <w:rFonts w:ascii="Arial" w:hAnsi="Arial" w:cs="Arial"/>
          <w:sz w:val="23"/>
          <w:szCs w:val="23"/>
        </w:rPr>
        <w:t xml:space="preserve"> – General account of issues raised</w:t>
      </w:r>
    </w:p>
    <w:p w14:paraId="3FFCC98F" w14:textId="77777777" w:rsidR="004F5C0E" w:rsidRPr="00666A2A" w:rsidRDefault="004F5C0E" w:rsidP="000F5AD3">
      <w:pPr>
        <w:spacing w:after="0" w:line="240" w:lineRule="auto"/>
        <w:rPr>
          <w:rFonts w:ascii="Arial" w:hAnsi="Arial" w:cs="Arial"/>
          <w:sz w:val="23"/>
          <w:szCs w:val="23"/>
        </w:rPr>
      </w:pPr>
    </w:p>
    <w:tbl>
      <w:tblPr>
        <w:tblStyle w:val="TableGrid"/>
        <w:tblW w:w="0" w:type="auto"/>
        <w:tblLook w:val="04A0" w:firstRow="1" w:lastRow="0" w:firstColumn="1" w:lastColumn="0" w:noHBand="0" w:noVBand="1"/>
      </w:tblPr>
      <w:tblGrid>
        <w:gridCol w:w="3114"/>
        <w:gridCol w:w="3685"/>
        <w:gridCol w:w="7149"/>
      </w:tblGrid>
      <w:tr w:rsidR="00B7451A" w:rsidRPr="00666A2A" w14:paraId="463739E4" w14:textId="77777777" w:rsidTr="003F3A80">
        <w:tc>
          <w:tcPr>
            <w:tcW w:w="3114" w:type="dxa"/>
            <w:shd w:val="clear" w:color="auto" w:fill="BFBFBF" w:themeFill="background1" w:themeFillShade="BF"/>
          </w:tcPr>
          <w:p w14:paraId="2D49895E" w14:textId="77777777" w:rsidR="00023714" w:rsidRPr="00666A2A" w:rsidRDefault="00023714" w:rsidP="00A1617C">
            <w:pPr>
              <w:spacing w:before="120" w:after="120" w:line="240" w:lineRule="auto"/>
              <w:jc w:val="center"/>
              <w:rPr>
                <w:rFonts w:ascii="Arial" w:hAnsi="Arial" w:cs="Arial"/>
                <w:b/>
                <w:bCs/>
                <w:color w:val="F2F2F2" w:themeColor="background1" w:themeShade="F2"/>
                <w:sz w:val="23"/>
                <w:szCs w:val="23"/>
              </w:rPr>
            </w:pPr>
            <w:r w:rsidRPr="00666A2A">
              <w:rPr>
                <w:rFonts w:ascii="Arial" w:hAnsi="Arial" w:cs="Arial"/>
                <w:b/>
                <w:bCs/>
                <w:color w:val="F2F2F2" w:themeColor="background1" w:themeShade="F2"/>
                <w:sz w:val="23"/>
                <w:szCs w:val="23"/>
              </w:rPr>
              <w:t>Area</w:t>
            </w:r>
          </w:p>
        </w:tc>
        <w:tc>
          <w:tcPr>
            <w:tcW w:w="3685" w:type="dxa"/>
            <w:shd w:val="clear" w:color="auto" w:fill="BFBFBF" w:themeFill="background1" w:themeFillShade="BF"/>
          </w:tcPr>
          <w:p w14:paraId="7927B835" w14:textId="4E7021A5" w:rsidR="00023714" w:rsidRPr="00666A2A" w:rsidRDefault="00023714" w:rsidP="00A1617C">
            <w:pPr>
              <w:spacing w:before="120" w:after="120" w:line="240" w:lineRule="auto"/>
              <w:jc w:val="center"/>
              <w:rPr>
                <w:rFonts w:ascii="Arial" w:hAnsi="Arial" w:cs="Arial"/>
                <w:b/>
                <w:bCs/>
                <w:color w:val="F2F2F2" w:themeColor="background1" w:themeShade="F2"/>
                <w:sz w:val="23"/>
                <w:szCs w:val="23"/>
              </w:rPr>
            </w:pPr>
            <w:r w:rsidRPr="00666A2A">
              <w:rPr>
                <w:rFonts w:ascii="Arial" w:hAnsi="Arial" w:cs="Arial"/>
                <w:b/>
                <w:bCs/>
                <w:color w:val="F2F2F2" w:themeColor="background1" w:themeShade="F2"/>
                <w:sz w:val="23"/>
                <w:szCs w:val="23"/>
              </w:rPr>
              <w:t>Summary of comment</w:t>
            </w:r>
          </w:p>
        </w:tc>
        <w:tc>
          <w:tcPr>
            <w:tcW w:w="7149" w:type="dxa"/>
            <w:shd w:val="clear" w:color="auto" w:fill="BFBFBF" w:themeFill="background1" w:themeFillShade="BF"/>
          </w:tcPr>
          <w:p w14:paraId="03D2BA06" w14:textId="3EC78850" w:rsidR="00023714" w:rsidRPr="00666A2A" w:rsidRDefault="00023714" w:rsidP="00A1617C">
            <w:pPr>
              <w:spacing w:before="120" w:after="120" w:line="240" w:lineRule="auto"/>
              <w:jc w:val="center"/>
              <w:rPr>
                <w:rFonts w:ascii="Arial" w:hAnsi="Arial" w:cs="Arial"/>
                <w:b/>
                <w:bCs/>
                <w:color w:val="F2F2F2" w:themeColor="background1" w:themeShade="F2"/>
                <w:sz w:val="23"/>
                <w:szCs w:val="23"/>
              </w:rPr>
            </w:pPr>
            <w:r w:rsidRPr="00666A2A">
              <w:rPr>
                <w:rFonts w:ascii="Arial" w:hAnsi="Arial" w:cs="Arial"/>
                <w:b/>
                <w:bCs/>
                <w:color w:val="F2F2F2" w:themeColor="background1" w:themeShade="F2"/>
                <w:sz w:val="23"/>
                <w:szCs w:val="23"/>
              </w:rPr>
              <w:t>Response</w:t>
            </w:r>
          </w:p>
        </w:tc>
      </w:tr>
      <w:tr w:rsidR="00023714" w:rsidRPr="00666A2A" w14:paraId="1A4F62F7" w14:textId="77777777" w:rsidTr="003F3A80">
        <w:tc>
          <w:tcPr>
            <w:tcW w:w="3114" w:type="dxa"/>
          </w:tcPr>
          <w:p w14:paraId="4FB4C521" w14:textId="48A02E72" w:rsidR="00023714" w:rsidRPr="00666A2A" w:rsidRDefault="00023714" w:rsidP="00023714">
            <w:pPr>
              <w:spacing w:after="0" w:line="240" w:lineRule="auto"/>
              <w:rPr>
                <w:rFonts w:ascii="Arial" w:hAnsi="Arial" w:cs="Arial"/>
                <w:sz w:val="23"/>
                <w:szCs w:val="23"/>
              </w:rPr>
            </w:pPr>
            <w:r w:rsidRPr="00666A2A">
              <w:rPr>
                <w:rFonts w:ascii="Arial" w:hAnsi="Arial" w:cs="Arial"/>
                <w:sz w:val="23"/>
                <w:szCs w:val="23"/>
              </w:rPr>
              <w:t>Definitions</w:t>
            </w:r>
          </w:p>
        </w:tc>
        <w:tc>
          <w:tcPr>
            <w:tcW w:w="3685" w:type="dxa"/>
          </w:tcPr>
          <w:p w14:paraId="64FB7301" w14:textId="50DF4A0C" w:rsidR="00023714" w:rsidRPr="00666A2A" w:rsidRDefault="00023714" w:rsidP="0075161D">
            <w:pPr>
              <w:spacing w:after="0" w:line="240" w:lineRule="auto"/>
              <w:jc w:val="both"/>
              <w:rPr>
                <w:rFonts w:ascii="Arial" w:hAnsi="Arial" w:cs="Arial"/>
                <w:sz w:val="23"/>
                <w:szCs w:val="23"/>
              </w:rPr>
            </w:pPr>
            <w:r w:rsidRPr="00666A2A">
              <w:rPr>
                <w:rFonts w:ascii="Arial" w:hAnsi="Arial" w:cs="Arial"/>
                <w:sz w:val="23"/>
                <w:szCs w:val="23"/>
              </w:rPr>
              <w:t xml:space="preserve">Request for reconsideration and/ or refinement of certain definitions and clarity on certain terms used in the </w:t>
            </w:r>
            <w:r w:rsidR="000D3CD7" w:rsidRPr="00666A2A">
              <w:rPr>
                <w:rFonts w:ascii="Arial" w:hAnsi="Arial" w:cs="Arial"/>
                <w:sz w:val="23"/>
                <w:szCs w:val="23"/>
              </w:rPr>
              <w:t>d</w:t>
            </w:r>
            <w:r w:rsidRPr="00666A2A">
              <w:rPr>
                <w:rFonts w:ascii="Arial" w:hAnsi="Arial" w:cs="Arial"/>
                <w:sz w:val="23"/>
                <w:szCs w:val="23"/>
              </w:rPr>
              <w:t>raft Standard.</w:t>
            </w:r>
          </w:p>
        </w:tc>
        <w:tc>
          <w:tcPr>
            <w:tcW w:w="7149" w:type="dxa"/>
          </w:tcPr>
          <w:p w14:paraId="02F69EF6" w14:textId="77777777" w:rsidR="0091420C" w:rsidRPr="00666A2A" w:rsidRDefault="0091420C" w:rsidP="002716F9">
            <w:pPr>
              <w:spacing w:after="0" w:line="240" w:lineRule="auto"/>
              <w:ind w:left="318" w:hanging="318"/>
              <w:jc w:val="both"/>
              <w:rPr>
                <w:rFonts w:ascii="Arial" w:hAnsi="Arial" w:cs="Arial"/>
                <w:sz w:val="23"/>
                <w:szCs w:val="23"/>
              </w:rPr>
            </w:pPr>
            <w:r w:rsidRPr="00666A2A">
              <w:rPr>
                <w:rFonts w:ascii="Arial" w:hAnsi="Arial" w:cs="Arial"/>
                <w:sz w:val="23"/>
                <w:szCs w:val="23"/>
              </w:rPr>
              <w:t xml:space="preserve">The definitions paragraph was amended in line with the comments received. </w:t>
            </w:r>
          </w:p>
          <w:p w14:paraId="4A3D0587" w14:textId="77777777" w:rsidR="0091420C" w:rsidRPr="00666A2A" w:rsidRDefault="0091420C" w:rsidP="002716F9">
            <w:pPr>
              <w:numPr>
                <w:ilvl w:val="0"/>
                <w:numId w:val="14"/>
              </w:numPr>
              <w:spacing w:after="0" w:line="240" w:lineRule="auto"/>
              <w:ind w:left="318" w:hanging="318"/>
              <w:jc w:val="both"/>
              <w:rPr>
                <w:rFonts w:ascii="Arial" w:hAnsi="Arial" w:cs="Arial"/>
                <w:sz w:val="23"/>
                <w:szCs w:val="23"/>
              </w:rPr>
            </w:pPr>
            <w:r w:rsidRPr="00666A2A">
              <w:rPr>
                <w:rFonts w:ascii="Arial" w:hAnsi="Arial" w:cs="Arial"/>
                <w:sz w:val="23"/>
                <w:szCs w:val="23"/>
              </w:rPr>
              <w:t xml:space="preserve">The definitions for “the Act”, “compliant covered contract”, “contractual recognition”, “covered contract”, “Reserve Bank”, and “termination right” were refined. </w:t>
            </w:r>
          </w:p>
          <w:p w14:paraId="2209F4CC" w14:textId="77777777" w:rsidR="0091420C" w:rsidRPr="00666A2A" w:rsidRDefault="0091420C" w:rsidP="002716F9">
            <w:pPr>
              <w:numPr>
                <w:ilvl w:val="0"/>
                <w:numId w:val="14"/>
              </w:numPr>
              <w:spacing w:after="0" w:line="240" w:lineRule="auto"/>
              <w:ind w:left="318" w:hanging="318"/>
              <w:jc w:val="both"/>
              <w:rPr>
                <w:rFonts w:ascii="Arial" w:hAnsi="Arial" w:cs="Arial"/>
                <w:sz w:val="23"/>
                <w:szCs w:val="23"/>
              </w:rPr>
            </w:pPr>
            <w:r w:rsidRPr="00666A2A">
              <w:rPr>
                <w:rFonts w:ascii="Arial" w:hAnsi="Arial" w:cs="Arial"/>
                <w:sz w:val="23"/>
                <w:szCs w:val="23"/>
              </w:rPr>
              <w:t>The definitions for “master agreement” and “payment system” were expanded to provide more clarity.</w:t>
            </w:r>
          </w:p>
          <w:p w14:paraId="2EECFE61" w14:textId="2B8E6B4E" w:rsidR="00F45A5F" w:rsidRPr="00666A2A" w:rsidRDefault="0091420C" w:rsidP="002716F9">
            <w:pPr>
              <w:numPr>
                <w:ilvl w:val="0"/>
                <w:numId w:val="14"/>
              </w:numPr>
              <w:spacing w:after="0" w:line="240" w:lineRule="auto"/>
              <w:ind w:left="318" w:hanging="318"/>
              <w:jc w:val="both"/>
              <w:rPr>
                <w:rFonts w:ascii="Arial" w:hAnsi="Arial" w:cs="Arial"/>
                <w:sz w:val="23"/>
                <w:szCs w:val="23"/>
              </w:rPr>
            </w:pPr>
            <w:r w:rsidRPr="00666A2A">
              <w:rPr>
                <w:rFonts w:ascii="Arial" w:hAnsi="Arial" w:cs="Arial"/>
                <w:sz w:val="23"/>
                <w:szCs w:val="23"/>
              </w:rPr>
              <w:t xml:space="preserve">The definition of “pre-existing contracts” together with all references to “pre-existing” contracts were deleted from the revised </w:t>
            </w:r>
            <w:r w:rsidR="004204F0" w:rsidRPr="00666A2A">
              <w:rPr>
                <w:rFonts w:ascii="Arial" w:hAnsi="Arial" w:cs="Arial"/>
                <w:sz w:val="23"/>
                <w:szCs w:val="23"/>
              </w:rPr>
              <w:t xml:space="preserve">proposed </w:t>
            </w:r>
            <w:r w:rsidRPr="00666A2A">
              <w:rPr>
                <w:rFonts w:ascii="Arial" w:hAnsi="Arial" w:cs="Arial"/>
                <w:sz w:val="23"/>
                <w:szCs w:val="23"/>
              </w:rPr>
              <w:t xml:space="preserve">Standard to eliminate unintended ambiguity. The information related to covered contracts that exists before the coming into effect of the Standard will be extrapolated from the information on the inception date of the relevant contracts. Paragraph 8.4 of the revised standard has been expanded to include this under minimum required information. </w:t>
            </w:r>
          </w:p>
          <w:p w14:paraId="1D77DC69" w14:textId="4FE91C4A" w:rsidR="00023714" w:rsidRPr="00666A2A" w:rsidRDefault="0091420C" w:rsidP="002716F9">
            <w:pPr>
              <w:numPr>
                <w:ilvl w:val="0"/>
                <w:numId w:val="14"/>
              </w:numPr>
              <w:spacing w:after="0" w:line="240" w:lineRule="auto"/>
              <w:ind w:left="318" w:hanging="318"/>
              <w:jc w:val="both"/>
              <w:rPr>
                <w:rFonts w:ascii="Arial" w:hAnsi="Arial" w:cs="Arial"/>
                <w:sz w:val="23"/>
                <w:szCs w:val="23"/>
              </w:rPr>
            </w:pPr>
            <w:r w:rsidRPr="00666A2A">
              <w:rPr>
                <w:rFonts w:ascii="Arial" w:hAnsi="Arial" w:cs="Arial"/>
                <w:sz w:val="23"/>
                <w:szCs w:val="23"/>
              </w:rPr>
              <w:t xml:space="preserve">The definition of terms already included in the Act were deleted from the </w:t>
            </w:r>
            <w:r w:rsidR="00540DEC" w:rsidRPr="00666A2A">
              <w:rPr>
                <w:rFonts w:ascii="Arial" w:hAnsi="Arial" w:cs="Arial"/>
                <w:sz w:val="23"/>
                <w:szCs w:val="23"/>
              </w:rPr>
              <w:t xml:space="preserve">proposed </w:t>
            </w:r>
            <w:r w:rsidRPr="00666A2A">
              <w:rPr>
                <w:rFonts w:ascii="Arial" w:hAnsi="Arial" w:cs="Arial"/>
                <w:sz w:val="23"/>
                <w:szCs w:val="23"/>
              </w:rPr>
              <w:t>Standard.</w:t>
            </w:r>
          </w:p>
        </w:tc>
      </w:tr>
      <w:tr w:rsidR="00023714" w:rsidRPr="00666A2A" w14:paraId="3DF0668A" w14:textId="77777777" w:rsidTr="003F3A80">
        <w:tc>
          <w:tcPr>
            <w:tcW w:w="3114" w:type="dxa"/>
          </w:tcPr>
          <w:p w14:paraId="729467C2" w14:textId="2B347BBE" w:rsidR="00023714" w:rsidRPr="00666A2A" w:rsidRDefault="00023714" w:rsidP="00023714">
            <w:pPr>
              <w:spacing w:after="0" w:line="240" w:lineRule="auto"/>
              <w:rPr>
                <w:rFonts w:ascii="Arial" w:hAnsi="Arial" w:cs="Arial"/>
                <w:sz w:val="23"/>
                <w:szCs w:val="23"/>
              </w:rPr>
            </w:pPr>
            <w:r w:rsidRPr="00666A2A">
              <w:rPr>
                <w:rFonts w:ascii="Arial" w:hAnsi="Arial" w:cs="Arial"/>
                <w:sz w:val="23"/>
                <w:szCs w:val="23"/>
              </w:rPr>
              <w:t xml:space="preserve">Application </w:t>
            </w:r>
            <w:r w:rsidR="00B374DF" w:rsidRPr="00666A2A">
              <w:rPr>
                <w:rFonts w:ascii="Arial" w:hAnsi="Arial" w:cs="Arial"/>
                <w:sz w:val="23"/>
                <w:szCs w:val="23"/>
              </w:rPr>
              <w:t xml:space="preserve">of the draft </w:t>
            </w:r>
            <w:r w:rsidR="000D3CD7" w:rsidRPr="00666A2A">
              <w:rPr>
                <w:rFonts w:ascii="Arial" w:hAnsi="Arial" w:cs="Arial"/>
                <w:sz w:val="23"/>
                <w:szCs w:val="23"/>
              </w:rPr>
              <w:t>S</w:t>
            </w:r>
            <w:r w:rsidR="00B374DF" w:rsidRPr="00666A2A">
              <w:rPr>
                <w:rFonts w:ascii="Arial" w:hAnsi="Arial" w:cs="Arial"/>
                <w:sz w:val="23"/>
                <w:szCs w:val="23"/>
              </w:rPr>
              <w:t>tandard</w:t>
            </w:r>
          </w:p>
        </w:tc>
        <w:tc>
          <w:tcPr>
            <w:tcW w:w="3685" w:type="dxa"/>
          </w:tcPr>
          <w:p w14:paraId="425D6900" w14:textId="4849656D" w:rsidR="00023714" w:rsidRPr="00666A2A" w:rsidRDefault="00657746" w:rsidP="0075161D">
            <w:pPr>
              <w:spacing w:after="0" w:line="240" w:lineRule="auto"/>
              <w:jc w:val="both"/>
              <w:rPr>
                <w:rFonts w:ascii="Arial" w:hAnsi="Arial" w:cs="Arial"/>
                <w:sz w:val="23"/>
                <w:szCs w:val="23"/>
              </w:rPr>
            </w:pPr>
            <w:r w:rsidRPr="00666A2A">
              <w:rPr>
                <w:rFonts w:ascii="Arial" w:hAnsi="Arial" w:cs="Arial"/>
                <w:sz w:val="23"/>
                <w:szCs w:val="23"/>
              </w:rPr>
              <w:t xml:space="preserve">Request for clarification on the </w:t>
            </w:r>
            <w:r w:rsidR="000D3CD7" w:rsidRPr="00666A2A">
              <w:rPr>
                <w:rFonts w:ascii="Arial" w:hAnsi="Arial" w:cs="Arial"/>
                <w:sz w:val="23"/>
                <w:szCs w:val="23"/>
              </w:rPr>
              <w:t>application of the d</w:t>
            </w:r>
            <w:r w:rsidRPr="00666A2A">
              <w:rPr>
                <w:rFonts w:ascii="Arial" w:hAnsi="Arial" w:cs="Arial"/>
                <w:sz w:val="23"/>
                <w:szCs w:val="23"/>
              </w:rPr>
              <w:t xml:space="preserve">raft Standard to </w:t>
            </w:r>
            <w:r w:rsidR="000D3CD7" w:rsidRPr="00666A2A">
              <w:rPr>
                <w:rFonts w:ascii="Arial" w:hAnsi="Arial" w:cs="Arial"/>
                <w:sz w:val="23"/>
                <w:szCs w:val="23"/>
              </w:rPr>
              <w:lastRenderedPageBreak/>
              <w:t xml:space="preserve">other entities who are members of a designated financial conglomerate. </w:t>
            </w:r>
          </w:p>
        </w:tc>
        <w:tc>
          <w:tcPr>
            <w:tcW w:w="7149" w:type="dxa"/>
          </w:tcPr>
          <w:p w14:paraId="1491F1A8" w14:textId="481C749B" w:rsidR="00023714" w:rsidRPr="00666A2A" w:rsidRDefault="001850D3" w:rsidP="003C4DF3">
            <w:pPr>
              <w:spacing w:after="0" w:line="240" w:lineRule="auto"/>
              <w:jc w:val="both"/>
              <w:rPr>
                <w:rFonts w:ascii="Arial" w:hAnsi="Arial" w:cs="Arial"/>
                <w:sz w:val="23"/>
                <w:szCs w:val="23"/>
              </w:rPr>
            </w:pPr>
            <w:r w:rsidRPr="00666A2A">
              <w:rPr>
                <w:rFonts w:ascii="Arial" w:hAnsi="Arial" w:cs="Arial"/>
                <w:sz w:val="23"/>
                <w:szCs w:val="23"/>
              </w:rPr>
              <w:lastRenderedPageBreak/>
              <w:t xml:space="preserve">Clarification was provided in the form of confirmation that the proposed Standard will apply to all designated institutions as defined </w:t>
            </w:r>
            <w:r w:rsidRPr="00666A2A">
              <w:rPr>
                <w:rFonts w:ascii="Arial" w:hAnsi="Arial" w:cs="Arial"/>
                <w:sz w:val="23"/>
                <w:szCs w:val="23"/>
              </w:rPr>
              <w:lastRenderedPageBreak/>
              <w:t>in the Act. It is further clarified that in line with the provisions under section 29</w:t>
            </w:r>
            <w:proofErr w:type="gramStart"/>
            <w:r w:rsidRPr="00666A2A">
              <w:rPr>
                <w:rFonts w:ascii="Arial" w:hAnsi="Arial" w:cs="Arial"/>
                <w:sz w:val="23"/>
                <w:szCs w:val="23"/>
              </w:rPr>
              <w:t>A(</w:t>
            </w:r>
            <w:proofErr w:type="gramEnd"/>
            <w:r w:rsidRPr="00666A2A">
              <w:rPr>
                <w:rFonts w:ascii="Arial" w:hAnsi="Arial" w:cs="Arial"/>
                <w:sz w:val="23"/>
                <w:szCs w:val="23"/>
              </w:rPr>
              <w:t>2) of the Act, the Governor is empowered to determine that the person or body that is a designated institution by virtue of being a member of a financial conglomerate is not a designated institution.</w:t>
            </w:r>
            <w:r w:rsidR="007E67CE" w:rsidRPr="00666A2A">
              <w:rPr>
                <w:rFonts w:ascii="Arial" w:hAnsi="Arial" w:cs="Arial"/>
                <w:sz w:val="23"/>
                <w:szCs w:val="23"/>
              </w:rPr>
              <w:t xml:space="preserve"> Designated Institutions </w:t>
            </w:r>
            <w:r w:rsidR="00C2193C" w:rsidRPr="00666A2A">
              <w:rPr>
                <w:rFonts w:ascii="Arial" w:hAnsi="Arial" w:cs="Arial"/>
                <w:sz w:val="23"/>
                <w:szCs w:val="23"/>
              </w:rPr>
              <w:t xml:space="preserve">are advised to focus on the banking operations until further clarity </w:t>
            </w:r>
            <w:r w:rsidR="006465E2" w:rsidRPr="00666A2A">
              <w:rPr>
                <w:rFonts w:ascii="Arial" w:hAnsi="Arial" w:cs="Arial"/>
                <w:sz w:val="23"/>
                <w:szCs w:val="23"/>
              </w:rPr>
              <w:t xml:space="preserve">in relation to resolution groups </w:t>
            </w:r>
            <w:r w:rsidR="00C2193C" w:rsidRPr="00666A2A">
              <w:rPr>
                <w:rFonts w:ascii="Arial" w:hAnsi="Arial" w:cs="Arial"/>
                <w:sz w:val="23"/>
                <w:szCs w:val="23"/>
              </w:rPr>
              <w:t>is provided by the Reserve Bank</w:t>
            </w:r>
            <w:r w:rsidR="006465E2" w:rsidRPr="00666A2A">
              <w:rPr>
                <w:rFonts w:ascii="Arial" w:hAnsi="Arial" w:cs="Arial"/>
                <w:sz w:val="23"/>
                <w:szCs w:val="23"/>
              </w:rPr>
              <w:t>.</w:t>
            </w:r>
          </w:p>
        </w:tc>
      </w:tr>
      <w:tr w:rsidR="00023714" w:rsidRPr="00666A2A" w14:paraId="267EC684" w14:textId="77777777" w:rsidTr="003F3A80">
        <w:tc>
          <w:tcPr>
            <w:tcW w:w="3114" w:type="dxa"/>
          </w:tcPr>
          <w:p w14:paraId="4A9A91ED" w14:textId="79BF29F5" w:rsidR="00023714" w:rsidRPr="00666A2A" w:rsidRDefault="00657746" w:rsidP="00023714">
            <w:pPr>
              <w:spacing w:after="0" w:line="240" w:lineRule="auto"/>
              <w:rPr>
                <w:rFonts w:ascii="Arial" w:hAnsi="Arial" w:cs="Arial"/>
                <w:sz w:val="23"/>
                <w:szCs w:val="23"/>
              </w:rPr>
            </w:pPr>
            <w:r w:rsidRPr="00666A2A">
              <w:rPr>
                <w:rFonts w:ascii="Arial" w:hAnsi="Arial" w:cs="Arial"/>
                <w:sz w:val="23"/>
                <w:szCs w:val="23"/>
              </w:rPr>
              <w:lastRenderedPageBreak/>
              <w:t xml:space="preserve">Contractual recognition requirements </w:t>
            </w:r>
          </w:p>
        </w:tc>
        <w:tc>
          <w:tcPr>
            <w:tcW w:w="3685" w:type="dxa"/>
          </w:tcPr>
          <w:p w14:paraId="26DD0A1D" w14:textId="2F716AF1" w:rsidR="00023714" w:rsidRPr="00666A2A" w:rsidRDefault="00657746" w:rsidP="0075161D">
            <w:pPr>
              <w:spacing w:after="0" w:line="240" w:lineRule="auto"/>
              <w:jc w:val="both"/>
              <w:rPr>
                <w:rFonts w:ascii="Arial" w:hAnsi="Arial" w:cs="Arial"/>
                <w:sz w:val="23"/>
                <w:szCs w:val="23"/>
              </w:rPr>
            </w:pPr>
            <w:r w:rsidRPr="00666A2A">
              <w:rPr>
                <w:rFonts w:ascii="Arial" w:hAnsi="Arial" w:cs="Arial"/>
                <w:sz w:val="23"/>
                <w:szCs w:val="23"/>
              </w:rPr>
              <w:t>Request for clarification of the requirement for independent review of the legal enforceability of contractual provisions.</w:t>
            </w:r>
          </w:p>
        </w:tc>
        <w:tc>
          <w:tcPr>
            <w:tcW w:w="7149" w:type="dxa"/>
          </w:tcPr>
          <w:p w14:paraId="08D9CC49" w14:textId="6B42135C" w:rsidR="00023714" w:rsidRPr="00666A2A" w:rsidRDefault="00F62DDC" w:rsidP="003C4DF3">
            <w:pPr>
              <w:spacing w:after="0" w:line="240" w:lineRule="auto"/>
              <w:jc w:val="both"/>
              <w:rPr>
                <w:rFonts w:ascii="Arial" w:hAnsi="Arial" w:cs="Arial"/>
                <w:sz w:val="23"/>
                <w:szCs w:val="23"/>
              </w:rPr>
            </w:pPr>
            <w:r w:rsidRPr="00666A2A">
              <w:rPr>
                <w:rFonts w:ascii="Arial" w:hAnsi="Arial" w:cs="Arial"/>
                <w:sz w:val="23"/>
                <w:szCs w:val="23"/>
              </w:rPr>
              <w:t>The wording in the relevant paragraph</w:t>
            </w:r>
            <w:r w:rsidR="009058B5" w:rsidRPr="00666A2A">
              <w:rPr>
                <w:rFonts w:ascii="Arial" w:hAnsi="Arial" w:cs="Arial"/>
                <w:sz w:val="23"/>
                <w:szCs w:val="23"/>
              </w:rPr>
              <w:t>s</w:t>
            </w:r>
            <w:r w:rsidRPr="00666A2A">
              <w:rPr>
                <w:rFonts w:ascii="Arial" w:hAnsi="Arial" w:cs="Arial"/>
                <w:sz w:val="23"/>
                <w:szCs w:val="23"/>
              </w:rPr>
              <w:t xml:space="preserve"> of the </w:t>
            </w:r>
            <w:r w:rsidR="00540DEC" w:rsidRPr="00666A2A">
              <w:rPr>
                <w:rFonts w:ascii="Arial" w:hAnsi="Arial" w:cs="Arial"/>
                <w:sz w:val="23"/>
                <w:szCs w:val="23"/>
              </w:rPr>
              <w:t>proposed</w:t>
            </w:r>
            <w:r w:rsidRPr="00666A2A">
              <w:rPr>
                <w:rFonts w:ascii="Arial" w:hAnsi="Arial" w:cs="Arial"/>
                <w:sz w:val="23"/>
                <w:szCs w:val="23"/>
              </w:rPr>
              <w:t xml:space="preserve"> Standard (see paragraphs 7.4 and 10.4 of the revised </w:t>
            </w:r>
            <w:r w:rsidR="00540DEC" w:rsidRPr="00666A2A">
              <w:rPr>
                <w:rFonts w:ascii="Arial" w:hAnsi="Arial" w:cs="Arial"/>
                <w:sz w:val="23"/>
                <w:szCs w:val="23"/>
              </w:rPr>
              <w:t>proposed S</w:t>
            </w:r>
            <w:r w:rsidRPr="00666A2A">
              <w:rPr>
                <w:rFonts w:ascii="Arial" w:hAnsi="Arial" w:cs="Arial"/>
                <w:sz w:val="23"/>
                <w:szCs w:val="23"/>
              </w:rPr>
              <w:t>tandard) has been streamlined to provide clarity on the requirement for independent review of the legal enforceability of contractual provisions.</w:t>
            </w:r>
          </w:p>
        </w:tc>
      </w:tr>
      <w:tr w:rsidR="00023714" w:rsidRPr="00666A2A" w14:paraId="0498245B" w14:textId="77777777" w:rsidTr="003F3A80">
        <w:tc>
          <w:tcPr>
            <w:tcW w:w="3114" w:type="dxa"/>
          </w:tcPr>
          <w:p w14:paraId="6892800E" w14:textId="78A11825" w:rsidR="00023714" w:rsidRPr="00666A2A" w:rsidRDefault="00657746" w:rsidP="00023714">
            <w:pPr>
              <w:spacing w:after="0" w:line="240" w:lineRule="auto"/>
              <w:rPr>
                <w:rFonts w:ascii="Arial" w:hAnsi="Arial" w:cs="Arial"/>
                <w:sz w:val="23"/>
                <w:szCs w:val="23"/>
              </w:rPr>
            </w:pPr>
            <w:r w:rsidRPr="00666A2A">
              <w:rPr>
                <w:rFonts w:ascii="Arial" w:hAnsi="Arial" w:cs="Arial"/>
                <w:sz w:val="23"/>
                <w:szCs w:val="23"/>
              </w:rPr>
              <w:t>Governance</w:t>
            </w:r>
          </w:p>
        </w:tc>
        <w:tc>
          <w:tcPr>
            <w:tcW w:w="3685" w:type="dxa"/>
          </w:tcPr>
          <w:p w14:paraId="6EC5B516" w14:textId="5739204F" w:rsidR="00023714" w:rsidRPr="00666A2A" w:rsidRDefault="00657746" w:rsidP="0075161D">
            <w:pPr>
              <w:spacing w:after="0" w:line="240" w:lineRule="auto"/>
              <w:jc w:val="both"/>
              <w:rPr>
                <w:rFonts w:ascii="Arial" w:hAnsi="Arial" w:cs="Arial"/>
                <w:sz w:val="23"/>
                <w:szCs w:val="23"/>
              </w:rPr>
            </w:pPr>
            <w:r w:rsidRPr="00666A2A">
              <w:rPr>
                <w:rFonts w:ascii="Arial" w:hAnsi="Arial" w:cs="Arial"/>
                <w:sz w:val="23"/>
                <w:szCs w:val="23"/>
              </w:rPr>
              <w:t>Request for clarification of the reporting</w:t>
            </w:r>
            <w:r w:rsidR="000D3CD7" w:rsidRPr="00666A2A">
              <w:rPr>
                <w:rFonts w:ascii="Arial" w:hAnsi="Arial" w:cs="Arial"/>
                <w:sz w:val="23"/>
                <w:szCs w:val="23"/>
              </w:rPr>
              <w:t xml:space="preserve"> requirements</w:t>
            </w:r>
            <w:r w:rsidRPr="00666A2A">
              <w:rPr>
                <w:rFonts w:ascii="Arial" w:hAnsi="Arial" w:cs="Arial"/>
                <w:sz w:val="23"/>
                <w:szCs w:val="23"/>
              </w:rPr>
              <w:t>.</w:t>
            </w:r>
          </w:p>
        </w:tc>
        <w:tc>
          <w:tcPr>
            <w:tcW w:w="7149" w:type="dxa"/>
          </w:tcPr>
          <w:p w14:paraId="54F63690" w14:textId="3CAF3F50" w:rsidR="00023714" w:rsidRPr="00666A2A" w:rsidRDefault="00ED6A67" w:rsidP="003C4DF3">
            <w:pPr>
              <w:spacing w:after="0" w:line="240" w:lineRule="auto"/>
              <w:jc w:val="both"/>
              <w:rPr>
                <w:rFonts w:ascii="Arial" w:hAnsi="Arial" w:cs="Arial"/>
                <w:sz w:val="23"/>
                <w:szCs w:val="23"/>
              </w:rPr>
            </w:pPr>
            <w:r w:rsidRPr="00666A2A">
              <w:rPr>
                <w:rFonts w:ascii="Arial" w:hAnsi="Arial" w:cs="Arial"/>
                <w:sz w:val="23"/>
                <w:szCs w:val="23"/>
              </w:rPr>
              <w:t>The wording under paragraph 10 has been refined to improve clarity of the reporting requirements therein.</w:t>
            </w:r>
          </w:p>
        </w:tc>
      </w:tr>
      <w:tr w:rsidR="00023714" w:rsidRPr="00666A2A" w14:paraId="43D36947" w14:textId="77777777" w:rsidTr="003F3A80">
        <w:tc>
          <w:tcPr>
            <w:tcW w:w="3114" w:type="dxa"/>
          </w:tcPr>
          <w:p w14:paraId="5BB77C11" w14:textId="3E85BDEA" w:rsidR="00023714" w:rsidRPr="00666A2A" w:rsidRDefault="00657746" w:rsidP="00023714">
            <w:pPr>
              <w:spacing w:after="0" w:line="240" w:lineRule="auto"/>
              <w:rPr>
                <w:rFonts w:ascii="Arial" w:hAnsi="Arial" w:cs="Arial"/>
                <w:sz w:val="23"/>
                <w:szCs w:val="23"/>
              </w:rPr>
            </w:pPr>
            <w:r w:rsidRPr="00666A2A">
              <w:rPr>
                <w:rFonts w:ascii="Arial" w:hAnsi="Arial" w:cs="Arial"/>
                <w:sz w:val="23"/>
                <w:szCs w:val="23"/>
              </w:rPr>
              <w:t>General compliance requirements</w:t>
            </w:r>
          </w:p>
        </w:tc>
        <w:tc>
          <w:tcPr>
            <w:tcW w:w="3685" w:type="dxa"/>
          </w:tcPr>
          <w:p w14:paraId="57FD59F1" w14:textId="2FF33DD7" w:rsidR="00657746" w:rsidRPr="00666A2A" w:rsidRDefault="00657746" w:rsidP="0075161D">
            <w:pPr>
              <w:spacing w:after="0" w:line="240" w:lineRule="auto"/>
              <w:jc w:val="both"/>
              <w:rPr>
                <w:rFonts w:ascii="Arial" w:hAnsi="Arial" w:cs="Arial"/>
                <w:sz w:val="23"/>
                <w:szCs w:val="23"/>
              </w:rPr>
            </w:pPr>
            <w:r w:rsidRPr="00666A2A">
              <w:rPr>
                <w:rFonts w:ascii="Arial" w:hAnsi="Arial" w:cs="Arial"/>
                <w:sz w:val="23"/>
                <w:szCs w:val="23"/>
              </w:rPr>
              <w:t xml:space="preserve">Request for reconsideration of the proposed measures </w:t>
            </w:r>
            <w:r w:rsidR="000D3CD7" w:rsidRPr="00666A2A">
              <w:rPr>
                <w:rFonts w:ascii="Arial" w:hAnsi="Arial" w:cs="Arial"/>
                <w:sz w:val="23"/>
                <w:szCs w:val="23"/>
              </w:rPr>
              <w:t xml:space="preserve">to be taken by the Prudential Authority </w:t>
            </w:r>
            <w:r w:rsidR="00CA5401" w:rsidRPr="00666A2A">
              <w:rPr>
                <w:rFonts w:ascii="Arial" w:hAnsi="Arial" w:cs="Arial"/>
                <w:sz w:val="23"/>
                <w:szCs w:val="23"/>
              </w:rPr>
              <w:t>in cases of</w:t>
            </w:r>
            <w:r w:rsidRPr="00666A2A">
              <w:rPr>
                <w:rFonts w:ascii="Arial" w:hAnsi="Arial" w:cs="Arial"/>
                <w:sz w:val="23"/>
                <w:szCs w:val="23"/>
              </w:rPr>
              <w:t xml:space="preserve"> non-compliance</w:t>
            </w:r>
            <w:r w:rsidR="000D3CD7" w:rsidRPr="00666A2A">
              <w:rPr>
                <w:rFonts w:ascii="Arial" w:hAnsi="Arial" w:cs="Arial"/>
                <w:sz w:val="23"/>
                <w:szCs w:val="23"/>
              </w:rPr>
              <w:t>.</w:t>
            </w:r>
            <w:r w:rsidRPr="00666A2A">
              <w:rPr>
                <w:rFonts w:ascii="Arial" w:hAnsi="Arial" w:cs="Arial"/>
                <w:sz w:val="23"/>
                <w:szCs w:val="23"/>
              </w:rPr>
              <w:t xml:space="preserve"> </w:t>
            </w:r>
          </w:p>
        </w:tc>
        <w:tc>
          <w:tcPr>
            <w:tcW w:w="7149" w:type="dxa"/>
          </w:tcPr>
          <w:p w14:paraId="4BB041A6" w14:textId="55CD3413" w:rsidR="00023714" w:rsidRPr="00666A2A" w:rsidRDefault="003C4DF3" w:rsidP="003C4DF3">
            <w:pPr>
              <w:spacing w:after="0" w:line="240" w:lineRule="auto"/>
              <w:jc w:val="both"/>
              <w:rPr>
                <w:rFonts w:ascii="Arial" w:hAnsi="Arial" w:cs="Arial"/>
                <w:sz w:val="23"/>
                <w:szCs w:val="23"/>
              </w:rPr>
            </w:pPr>
            <w:r w:rsidRPr="00666A2A">
              <w:rPr>
                <w:rFonts w:ascii="Arial" w:hAnsi="Arial" w:cs="Arial"/>
                <w:sz w:val="23"/>
                <w:szCs w:val="23"/>
              </w:rPr>
              <w:t>The</w:t>
            </w:r>
            <w:r w:rsidR="00540DEC" w:rsidRPr="00666A2A">
              <w:rPr>
                <w:rFonts w:ascii="Arial" w:hAnsi="Arial" w:cs="Arial"/>
                <w:sz w:val="23"/>
                <w:szCs w:val="23"/>
              </w:rPr>
              <w:t xml:space="preserve"> </w:t>
            </w:r>
            <w:r w:rsidRPr="00666A2A">
              <w:rPr>
                <w:rFonts w:ascii="Arial" w:hAnsi="Arial" w:cs="Arial"/>
                <w:sz w:val="23"/>
                <w:szCs w:val="23"/>
              </w:rPr>
              <w:t>Authorit</w:t>
            </w:r>
            <w:r w:rsidR="00540DEC" w:rsidRPr="00666A2A">
              <w:rPr>
                <w:rFonts w:ascii="Arial" w:hAnsi="Arial" w:cs="Arial"/>
                <w:sz w:val="23"/>
                <w:szCs w:val="23"/>
              </w:rPr>
              <w:t>ies</w:t>
            </w:r>
            <w:r w:rsidRPr="00666A2A">
              <w:rPr>
                <w:rFonts w:ascii="Arial" w:hAnsi="Arial" w:cs="Arial"/>
                <w:sz w:val="23"/>
                <w:szCs w:val="23"/>
              </w:rPr>
              <w:t xml:space="preserve"> maintains that the stated consequences for non-compliance with the requirements under paragraph 9 of the revised</w:t>
            </w:r>
            <w:r w:rsidR="00540DEC" w:rsidRPr="00666A2A">
              <w:rPr>
                <w:rFonts w:ascii="Arial" w:hAnsi="Arial" w:cs="Arial"/>
                <w:sz w:val="23"/>
                <w:szCs w:val="23"/>
              </w:rPr>
              <w:t xml:space="preserve"> proposed</w:t>
            </w:r>
            <w:r w:rsidRPr="00666A2A">
              <w:rPr>
                <w:rFonts w:ascii="Arial" w:hAnsi="Arial" w:cs="Arial"/>
                <w:sz w:val="23"/>
                <w:szCs w:val="23"/>
              </w:rPr>
              <w:t xml:space="preserve"> Standard are reasonable.</w:t>
            </w:r>
          </w:p>
        </w:tc>
      </w:tr>
    </w:tbl>
    <w:p w14:paraId="68E3FFC3" w14:textId="77777777" w:rsidR="002E7799" w:rsidRPr="00666A2A" w:rsidRDefault="002E7799" w:rsidP="00023714">
      <w:pPr>
        <w:spacing w:after="0" w:line="240" w:lineRule="auto"/>
        <w:jc w:val="center"/>
        <w:rPr>
          <w:rFonts w:ascii="Arial" w:hAnsi="Arial" w:cs="Arial"/>
          <w:b/>
          <w:bCs/>
          <w:sz w:val="23"/>
          <w:szCs w:val="23"/>
        </w:rPr>
      </w:pPr>
    </w:p>
    <w:p w14:paraId="56A7475B" w14:textId="77777777" w:rsidR="000D3CD7" w:rsidRPr="00666A2A" w:rsidRDefault="000D3CD7" w:rsidP="00023714">
      <w:pPr>
        <w:spacing w:after="0" w:line="240" w:lineRule="auto"/>
        <w:jc w:val="center"/>
        <w:rPr>
          <w:rFonts w:ascii="Arial" w:hAnsi="Arial" w:cs="Arial"/>
          <w:b/>
          <w:bCs/>
          <w:sz w:val="23"/>
          <w:szCs w:val="23"/>
        </w:rPr>
      </w:pPr>
    </w:p>
    <w:p w14:paraId="673C8E97" w14:textId="288F03D7" w:rsidR="000D3CD7" w:rsidRPr="00666A2A" w:rsidRDefault="000D3CD7" w:rsidP="00023714">
      <w:pPr>
        <w:spacing w:after="0" w:line="240" w:lineRule="auto"/>
        <w:jc w:val="center"/>
        <w:rPr>
          <w:rFonts w:ascii="Arial" w:hAnsi="Arial" w:cs="Arial"/>
          <w:b/>
          <w:bCs/>
          <w:sz w:val="23"/>
          <w:szCs w:val="23"/>
        </w:rPr>
      </w:pPr>
    </w:p>
    <w:p w14:paraId="119311B8" w14:textId="521B85AD" w:rsidR="009C19E5" w:rsidRPr="00666A2A" w:rsidRDefault="009C19E5" w:rsidP="00023714">
      <w:pPr>
        <w:spacing w:after="0" w:line="240" w:lineRule="auto"/>
        <w:jc w:val="center"/>
        <w:rPr>
          <w:rFonts w:ascii="Arial" w:hAnsi="Arial" w:cs="Arial"/>
          <w:b/>
          <w:bCs/>
          <w:sz w:val="23"/>
          <w:szCs w:val="23"/>
        </w:rPr>
      </w:pPr>
    </w:p>
    <w:p w14:paraId="04E422C8" w14:textId="77777777" w:rsidR="009C19E5" w:rsidRPr="00666A2A" w:rsidRDefault="009C19E5" w:rsidP="00023714">
      <w:pPr>
        <w:spacing w:after="0" w:line="240" w:lineRule="auto"/>
        <w:jc w:val="center"/>
        <w:rPr>
          <w:rFonts w:ascii="Arial" w:hAnsi="Arial" w:cs="Arial"/>
          <w:b/>
          <w:bCs/>
          <w:sz w:val="23"/>
          <w:szCs w:val="23"/>
        </w:rPr>
      </w:pPr>
    </w:p>
    <w:p w14:paraId="74B87E18" w14:textId="77777777" w:rsidR="000D3CD7" w:rsidRPr="00666A2A" w:rsidRDefault="000D3CD7" w:rsidP="00023714">
      <w:pPr>
        <w:spacing w:after="0" w:line="240" w:lineRule="auto"/>
        <w:jc w:val="center"/>
        <w:rPr>
          <w:rFonts w:ascii="Arial" w:hAnsi="Arial" w:cs="Arial"/>
          <w:b/>
          <w:bCs/>
          <w:sz w:val="23"/>
          <w:szCs w:val="23"/>
        </w:rPr>
      </w:pPr>
    </w:p>
    <w:p w14:paraId="6F6D4DE0" w14:textId="77777777" w:rsidR="009C19E5" w:rsidRPr="00666A2A" w:rsidRDefault="009C19E5">
      <w:pPr>
        <w:spacing w:after="160" w:line="259" w:lineRule="auto"/>
        <w:rPr>
          <w:rFonts w:ascii="Arial" w:hAnsi="Arial" w:cs="Arial"/>
          <w:b/>
          <w:bCs/>
          <w:sz w:val="23"/>
          <w:szCs w:val="23"/>
        </w:rPr>
      </w:pPr>
      <w:r w:rsidRPr="00666A2A">
        <w:rPr>
          <w:rFonts w:ascii="Arial" w:hAnsi="Arial" w:cs="Arial"/>
          <w:b/>
          <w:bCs/>
          <w:sz w:val="23"/>
          <w:szCs w:val="23"/>
        </w:rPr>
        <w:br w:type="page"/>
      </w:r>
    </w:p>
    <w:p w14:paraId="523AE7BC" w14:textId="3F16F978" w:rsidR="00023714" w:rsidRPr="00666A2A" w:rsidRDefault="005C2688" w:rsidP="00023714">
      <w:pPr>
        <w:spacing w:after="0" w:line="240" w:lineRule="auto"/>
        <w:jc w:val="center"/>
        <w:rPr>
          <w:rFonts w:ascii="Arial" w:hAnsi="Arial" w:cs="Arial"/>
          <w:b/>
          <w:bCs/>
          <w:sz w:val="23"/>
          <w:szCs w:val="23"/>
        </w:rPr>
      </w:pPr>
      <w:r w:rsidRPr="00666A2A">
        <w:rPr>
          <w:rFonts w:ascii="Arial" w:hAnsi="Arial" w:cs="Arial"/>
          <w:b/>
          <w:bCs/>
          <w:sz w:val="23"/>
          <w:szCs w:val="23"/>
        </w:rPr>
        <w:lastRenderedPageBreak/>
        <w:t>Draft Prudential</w:t>
      </w:r>
      <w:r w:rsidR="00023714" w:rsidRPr="00666A2A">
        <w:rPr>
          <w:rFonts w:ascii="Arial" w:hAnsi="Arial" w:cs="Arial"/>
          <w:b/>
          <w:bCs/>
          <w:sz w:val="23"/>
          <w:szCs w:val="23"/>
        </w:rPr>
        <w:t xml:space="preserve"> Standard RA01: Stays on Early-Termination Rights and Resolution Moratoria on Contracts of Designated Institutions in Resolution</w:t>
      </w:r>
    </w:p>
    <w:p w14:paraId="407ED240" w14:textId="77777777" w:rsidR="00023714" w:rsidRPr="00666A2A" w:rsidRDefault="00023714" w:rsidP="00023714">
      <w:pPr>
        <w:spacing w:after="0" w:line="240" w:lineRule="auto"/>
        <w:jc w:val="center"/>
        <w:rPr>
          <w:rFonts w:ascii="Arial" w:hAnsi="Arial" w:cs="Arial"/>
          <w:b/>
          <w:bCs/>
          <w:sz w:val="23"/>
          <w:szCs w:val="23"/>
        </w:rPr>
      </w:pPr>
    </w:p>
    <w:p w14:paraId="4D93A419" w14:textId="77777777" w:rsidR="00023714" w:rsidRPr="00666A2A" w:rsidRDefault="00023714" w:rsidP="00023714">
      <w:pPr>
        <w:spacing w:after="0" w:line="240" w:lineRule="auto"/>
        <w:jc w:val="center"/>
        <w:rPr>
          <w:rFonts w:ascii="Arial" w:hAnsi="Arial" w:cs="Arial"/>
          <w:b/>
          <w:bCs/>
          <w:sz w:val="23"/>
          <w:szCs w:val="23"/>
        </w:rPr>
      </w:pPr>
      <w:r w:rsidRPr="00666A2A">
        <w:rPr>
          <w:rFonts w:ascii="Arial" w:hAnsi="Arial" w:cs="Arial"/>
          <w:b/>
          <w:bCs/>
          <w:sz w:val="23"/>
          <w:szCs w:val="23"/>
        </w:rPr>
        <w:t>Commentators and full set of comments</w:t>
      </w:r>
    </w:p>
    <w:p w14:paraId="534CD8EB" w14:textId="77777777" w:rsidR="00AC6BFD" w:rsidRPr="00666A2A" w:rsidRDefault="00AC6BFD" w:rsidP="00C667E7">
      <w:pPr>
        <w:spacing w:after="0" w:line="240" w:lineRule="auto"/>
        <w:jc w:val="center"/>
        <w:rPr>
          <w:rFonts w:ascii="Arial" w:hAnsi="Arial" w:cs="Arial"/>
          <w:b/>
          <w:bCs/>
          <w:sz w:val="23"/>
          <w:szCs w:val="23"/>
        </w:rPr>
      </w:pPr>
    </w:p>
    <w:p w14:paraId="70C57E1A" w14:textId="4DC794FA" w:rsidR="002828B0" w:rsidRPr="00666A2A" w:rsidRDefault="00AC6BFD" w:rsidP="00AC6BFD">
      <w:pPr>
        <w:spacing w:after="0" w:line="240" w:lineRule="auto"/>
        <w:rPr>
          <w:rFonts w:ascii="Arial" w:hAnsi="Arial" w:cs="Arial"/>
          <w:sz w:val="23"/>
          <w:szCs w:val="23"/>
        </w:rPr>
      </w:pPr>
      <w:r w:rsidRPr="00666A2A">
        <w:rPr>
          <w:rFonts w:ascii="Arial" w:hAnsi="Arial" w:cs="Arial"/>
          <w:b/>
          <w:bCs/>
          <w:sz w:val="23"/>
          <w:szCs w:val="23"/>
        </w:rPr>
        <w:t xml:space="preserve">Table </w:t>
      </w:r>
      <w:r w:rsidR="00FA3D40" w:rsidRPr="00666A2A">
        <w:rPr>
          <w:rFonts w:ascii="Arial" w:hAnsi="Arial" w:cs="Arial"/>
          <w:b/>
          <w:bCs/>
          <w:sz w:val="23"/>
          <w:szCs w:val="23"/>
        </w:rPr>
        <w:t>2</w:t>
      </w:r>
      <w:r w:rsidRPr="00666A2A">
        <w:rPr>
          <w:rFonts w:ascii="Arial" w:hAnsi="Arial" w:cs="Arial"/>
          <w:sz w:val="23"/>
          <w:szCs w:val="23"/>
        </w:rPr>
        <w:t xml:space="preserve"> </w:t>
      </w:r>
      <w:r w:rsidR="00855049" w:rsidRPr="00666A2A">
        <w:rPr>
          <w:rFonts w:ascii="Arial" w:hAnsi="Arial" w:cs="Arial"/>
          <w:sz w:val="23"/>
          <w:szCs w:val="23"/>
        </w:rPr>
        <w:t>- Details of the commentators</w:t>
      </w:r>
    </w:p>
    <w:p w14:paraId="7CAB1448" w14:textId="77777777" w:rsidR="004F5C0E" w:rsidRPr="00666A2A" w:rsidRDefault="004F5C0E" w:rsidP="00AC6BFD">
      <w:pPr>
        <w:spacing w:after="0" w:line="240" w:lineRule="auto"/>
        <w:rPr>
          <w:rFonts w:ascii="Arial" w:hAnsi="Arial" w:cs="Arial"/>
          <w:sz w:val="23"/>
          <w:szCs w:val="23"/>
        </w:rPr>
      </w:pPr>
    </w:p>
    <w:tbl>
      <w:tblPr>
        <w:tblStyle w:val="TableGrid"/>
        <w:tblW w:w="0" w:type="auto"/>
        <w:tblLook w:val="04A0" w:firstRow="1" w:lastRow="0" w:firstColumn="1" w:lastColumn="0" w:noHBand="0" w:noVBand="1"/>
      </w:tblPr>
      <w:tblGrid>
        <w:gridCol w:w="939"/>
        <w:gridCol w:w="5435"/>
        <w:gridCol w:w="1276"/>
        <w:gridCol w:w="5245"/>
      </w:tblGrid>
      <w:tr w:rsidR="00F642B5" w:rsidRPr="00666A2A" w14:paraId="20F9D1FE" w14:textId="77777777" w:rsidTr="005D6316">
        <w:trPr>
          <w:trHeight w:val="67"/>
        </w:trPr>
        <w:tc>
          <w:tcPr>
            <w:tcW w:w="939" w:type="dxa"/>
            <w:shd w:val="clear" w:color="auto" w:fill="BFBFBF" w:themeFill="background1" w:themeFillShade="BF"/>
          </w:tcPr>
          <w:p w14:paraId="6B8A9FB4" w14:textId="77777777" w:rsidR="00C667E7" w:rsidRPr="00666A2A" w:rsidRDefault="00C667E7" w:rsidP="00A1617C">
            <w:pPr>
              <w:spacing w:before="120" w:after="120" w:line="240" w:lineRule="auto"/>
              <w:jc w:val="center"/>
              <w:rPr>
                <w:rFonts w:ascii="Arial" w:hAnsi="Arial" w:cs="Arial"/>
                <w:b/>
                <w:bCs/>
                <w:color w:val="F2F2F2" w:themeColor="background1" w:themeShade="F2"/>
                <w:sz w:val="23"/>
                <w:szCs w:val="23"/>
              </w:rPr>
            </w:pPr>
            <w:r w:rsidRPr="00666A2A">
              <w:rPr>
                <w:rFonts w:ascii="Arial" w:hAnsi="Arial" w:cs="Arial"/>
                <w:b/>
                <w:bCs/>
                <w:color w:val="F2F2F2" w:themeColor="background1" w:themeShade="F2"/>
                <w:sz w:val="23"/>
                <w:szCs w:val="23"/>
              </w:rPr>
              <w:t>No.</w:t>
            </w:r>
          </w:p>
        </w:tc>
        <w:tc>
          <w:tcPr>
            <w:tcW w:w="5435" w:type="dxa"/>
            <w:shd w:val="clear" w:color="auto" w:fill="BFBFBF" w:themeFill="background1" w:themeFillShade="BF"/>
          </w:tcPr>
          <w:p w14:paraId="401DAFDB" w14:textId="77777777" w:rsidR="00C667E7" w:rsidRPr="00666A2A" w:rsidRDefault="00C667E7" w:rsidP="00A1617C">
            <w:pPr>
              <w:spacing w:before="120" w:after="120" w:line="240" w:lineRule="auto"/>
              <w:jc w:val="center"/>
              <w:rPr>
                <w:rFonts w:ascii="Arial" w:hAnsi="Arial" w:cs="Arial"/>
                <w:b/>
                <w:bCs/>
                <w:color w:val="F2F2F2" w:themeColor="background1" w:themeShade="F2"/>
                <w:sz w:val="23"/>
                <w:szCs w:val="23"/>
              </w:rPr>
            </w:pPr>
            <w:r w:rsidRPr="00666A2A">
              <w:rPr>
                <w:rFonts w:ascii="Arial" w:hAnsi="Arial" w:cs="Arial"/>
                <w:b/>
                <w:bCs/>
                <w:color w:val="F2F2F2" w:themeColor="background1" w:themeShade="F2"/>
                <w:sz w:val="23"/>
                <w:szCs w:val="23"/>
              </w:rPr>
              <w:t>Name of organisation</w:t>
            </w:r>
          </w:p>
        </w:tc>
        <w:tc>
          <w:tcPr>
            <w:tcW w:w="1276" w:type="dxa"/>
            <w:shd w:val="clear" w:color="auto" w:fill="BFBFBF" w:themeFill="background1" w:themeFillShade="BF"/>
          </w:tcPr>
          <w:p w14:paraId="4DF03AF3" w14:textId="77777777" w:rsidR="00C667E7" w:rsidRPr="00666A2A" w:rsidRDefault="00C667E7" w:rsidP="00A1617C">
            <w:pPr>
              <w:spacing w:before="120" w:after="120" w:line="240" w:lineRule="auto"/>
              <w:jc w:val="center"/>
              <w:rPr>
                <w:rFonts w:ascii="Arial" w:hAnsi="Arial" w:cs="Arial"/>
                <w:b/>
                <w:bCs/>
                <w:color w:val="F2F2F2" w:themeColor="background1" w:themeShade="F2"/>
                <w:sz w:val="23"/>
                <w:szCs w:val="23"/>
              </w:rPr>
            </w:pPr>
            <w:r w:rsidRPr="00666A2A">
              <w:rPr>
                <w:rFonts w:ascii="Arial" w:hAnsi="Arial" w:cs="Arial"/>
                <w:b/>
                <w:bCs/>
                <w:color w:val="F2F2F2" w:themeColor="background1" w:themeShade="F2"/>
                <w:sz w:val="23"/>
                <w:szCs w:val="23"/>
              </w:rPr>
              <w:t>Acronym</w:t>
            </w:r>
          </w:p>
        </w:tc>
        <w:tc>
          <w:tcPr>
            <w:tcW w:w="5245" w:type="dxa"/>
            <w:shd w:val="clear" w:color="auto" w:fill="BFBFBF" w:themeFill="background1" w:themeFillShade="BF"/>
          </w:tcPr>
          <w:p w14:paraId="141266AE" w14:textId="7445CD5D" w:rsidR="00C667E7" w:rsidRPr="00666A2A" w:rsidRDefault="00FA3D40" w:rsidP="00A1617C">
            <w:pPr>
              <w:spacing w:before="120" w:after="120" w:line="240" w:lineRule="auto"/>
              <w:jc w:val="center"/>
              <w:rPr>
                <w:rFonts w:ascii="Arial" w:hAnsi="Arial" w:cs="Arial"/>
                <w:b/>
                <w:bCs/>
                <w:color w:val="F2F2F2" w:themeColor="background1" w:themeShade="F2"/>
                <w:sz w:val="23"/>
                <w:szCs w:val="23"/>
              </w:rPr>
            </w:pPr>
            <w:r w:rsidRPr="00666A2A">
              <w:rPr>
                <w:rFonts w:ascii="Arial" w:hAnsi="Arial" w:cs="Arial"/>
                <w:b/>
                <w:bCs/>
                <w:color w:val="F2F2F2" w:themeColor="background1" w:themeShade="F2"/>
                <w:sz w:val="23"/>
                <w:szCs w:val="23"/>
              </w:rPr>
              <w:t>Contact person</w:t>
            </w:r>
          </w:p>
        </w:tc>
      </w:tr>
      <w:tr w:rsidR="00C667E7" w:rsidRPr="00666A2A" w14:paraId="518CC7DF" w14:textId="77777777" w:rsidTr="00DD1014">
        <w:tc>
          <w:tcPr>
            <w:tcW w:w="939" w:type="dxa"/>
          </w:tcPr>
          <w:p w14:paraId="2AF9BA44" w14:textId="77777777" w:rsidR="00C667E7" w:rsidRPr="00666A2A" w:rsidRDefault="00C667E7" w:rsidP="00B7451A">
            <w:pPr>
              <w:spacing w:before="120" w:after="120" w:line="240" w:lineRule="auto"/>
              <w:jc w:val="center"/>
              <w:rPr>
                <w:rFonts w:ascii="Arial" w:hAnsi="Arial" w:cs="Arial"/>
                <w:b/>
                <w:bCs/>
                <w:sz w:val="23"/>
                <w:szCs w:val="23"/>
              </w:rPr>
            </w:pPr>
            <w:r w:rsidRPr="00666A2A">
              <w:rPr>
                <w:rFonts w:ascii="Arial" w:hAnsi="Arial" w:cs="Arial"/>
                <w:b/>
                <w:bCs/>
                <w:sz w:val="23"/>
                <w:szCs w:val="23"/>
              </w:rPr>
              <w:t>1.</w:t>
            </w:r>
          </w:p>
        </w:tc>
        <w:tc>
          <w:tcPr>
            <w:tcW w:w="5435" w:type="dxa"/>
          </w:tcPr>
          <w:p w14:paraId="496B96FF" w14:textId="74CE8089"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Banking Association South Africa</w:t>
            </w:r>
          </w:p>
        </w:tc>
        <w:tc>
          <w:tcPr>
            <w:tcW w:w="1276" w:type="dxa"/>
          </w:tcPr>
          <w:p w14:paraId="3F8C9BBD" w14:textId="1D92FD20"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BASA</w:t>
            </w:r>
          </w:p>
        </w:tc>
        <w:tc>
          <w:tcPr>
            <w:tcW w:w="5245" w:type="dxa"/>
          </w:tcPr>
          <w:p w14:paraId="196A27BD" w14:textId="77777777"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Benjamin April</w:t>
            </w:r>
          </w:p>
          <w:p w14:paraId="6E15B34F" w14:textId="358F3C1C" w:rsidR="001633DD"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General Manager: Prudential Division</w:t>
            </w:r>
          </w:p>
        </w:tc>
      </w:tr>
      <w:tr w:rsidR="00C667E7" w:rsidRPr="00666A2A" w14:paraId="2AED08BD" w14:textId="77777777" w:rsidTr="00DD1014">
        <w:tc>
          <w:tcPr>
            <w:tcW w:w="939" w:type="dxa"/>
          </w:tcPr>
          <w:p w14:paraId="20DC9EB0" w14:textId="77777777" w:rsidR="00C667E7" w:rsidRPr="00666A2A" w:rsidRDefault="00C667E7" w:rsidP="00B7451A">
            <w:pPr>
              <w:spacing w:before="120" w:after="120" w:line="240" w:lineRule="auto"/>
              <w:jc w:val="center"/>
              <w:rPr>
                <w:rFonts w:ascii="Arial" w:hAnsi="Arial" w:cs="Arial"/>
                <w:b/>
                <w:bCs/>
                <w:sz w:val="23"/>
                <w:szCs w:val="23"/>
              </w:rPr>
            </w:pPr>
            <w:r w:rsidRPr="00666A2A">
              <w:rPr>
                <w:rFonts w:ascii="Arial" w:hAnsi="Arial" w:cs="Arial"/>
                <w:b/>
                <w:bCs/>
                <w:sz w:val="23"/>
                <w:szCs w:val="23"/>
              </w:rPr>
              <w:t>2.</w:t>
            </w:r>
          </w:p>
        </w:tc>
        <w:tc>
          <w:tcPr>
            <w:tcW w:w="5435" w:type="dxa"/>
          </w:tcPr>
          <w:p w14:paraId="4AC09643" w14:textId="7D53E554"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Bank of China Limited JHB Branch</w:t>
            </w:r>
          </w:p>
        </w:tc>
        <w:tc>
          <w:tcPr>
            <w:tcW w:w="1276" w:type="dxa"/>
          </w:tcPr>
          <w:p w14:paraId="59515763" w14:textId="3F8652B9"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BOCA</w:t>
            </w:r>
          </w:p>
        </w:tc>
        <w:tc>
          <w:tcPr>
            <w:tcW w:w="5245" w:type="dxa"/>
          </w:tcPr>
          <w:p w14:paraId="24058561" w14:textId="16502D96" w:rsidR="001633DD"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Ashley Cameron</w:t>
            </w:r>
          </w:p>
          <w:p w14:paraId="20926302" w14:textId="1375A9F3"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Senior Executive Vice President</w:t>
            </w:r>
          </w:p>
        </w:tc>
      </w:tr>
      <w:tr w:rsidR="00C667E7" w:rsidRPr="00666A2A" w14:paraId="44CD1C01" w14:textId="77777777" w:rsidTr="00DD1014">
        <w:tc>
          <w:tcPr>
            <w:tcW w:w="939" w:type="dxa"/>
          </w:tcPr>
          <w:p w14:paraId="6274F94C" w14:textId="77777777" w:rsidR="00C667E7" w:rsidRPr="00666A2A" w:rsidRDefault="00C667E7" w:rsidP="00B7451A">
            <w:pPr>
              <w:spacing w:before="120" w:after="120" w:line="240" w:lineRule="auto"/>
              <w:jc w:val="center"/>
              <w:rPr>
                <w:rFonts w:ascii="Arial" w:hAnsi="Arial" w:cs="Arial"/>
                <w:b/>
                <w:bCs/>
                <w:sz w:val="23"/>
                <w:szCs w:val="23"/>
              </w:rPr>
            </w:pPr>
            <w:r w:rsidRPr="00666A2A">
              <w:rPr>
                <w:rFonts w:ascii="Arial" w:hAnsi="Arial" w:cs="Arial"/>
                <w:b/>
                <w:bCs/>
                <w:sz w:val="23"/>
                <w:szCs w:val="23"/>
              </w:rPr>
              <w:t>3.</w:t>
            </w:r>
          </w:p>
        </w:tc>
        <w:tc>
          <w:tcPr>
            <w:tcW w:w="5435" w:type="dxa"/>
          </w:tcPr>
          <w:p w14:paraId="3C8CD31E" w14:textId="373B52B1"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Financial Sector Conduct Authority</w:t>
            </w:r>
          </w:p>
        </w:tc>
        <w:tc>
          <w:tcPr>
            <w:tcW w:w="1276" w:type="dxa"/>
          </w:tcPr>
          <w:p w14:paraId="018BFF11" w14:textId="5D22C730"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FSCA</w:t>
            </w:r>
          </w:p>
        </w:tc>
        <w:tc>
          <w:tcPr>
            <w:tcW w:w="5245" w:type="dxa"/>
          </w:tcPr>
          <w:p w14:paraId="3F17A4FE" w14:textId="63496337" w:rsidR="001633DD" w:rsidRPr="00666A2A" w:rsidRDefault="001633DD" w:rsidP="00B7451A">
            <w:pPr>
              <w:spacing w:before="120" w:after="120" w:line="240" w:lineRule="auto"/>
              <w:rPr>
                <w:rFonts w:ascii="Arial" w:hAnsi="Arial" w:cs="Arial"/>
                <w:sz w:val="23"/>
                <w:szCs w:val="23"/>
              </w:rPr>
            </w:pPr>
            <w:proofErr w:type="spellStart"/>
            <w:r w:rsidRPr="00666A2A">
              <w:rPr>
                <w:rFonts w:ascii="Arial" w:hAnsi="Arial" w:cs="Arial"/>
                <w:sz w:val="23"/>
                <w:szCs w:val="23"/>
              </w:rPr>
              <w:t>Hannelie</w:t>
            </w:r>
            <w:proofErr w:type="spellEnd"/>
            <w:r w:rsidRPr="00666A2A">
              <w:rPr>
                <w:rFonts w:ascii="Arial" w:hAnsi="Arial" w:cs="Arial"/>
                <w:sz w:val="23"/>
                <w:szCs w:val="23"/>
              </w:rPr>
              <w:t xml:space="preserve"> </w:t>
            </w:r>
            <w:proofErr w:type="spellStart"/>
            <w:r w:rsidRPr="00666A2A">
              <w:rPr>
                <w:rFonts w:ascii="Arial" w:hAnsi="Arial" w:cs="Arial"/>
                <w:sz w:val="23"/>
                <w:szCs w:val="23"/>
              </w:rPr>
              <w:t>Hattingh</w:t>
            </w:r>
            <w:proofErr w:type="spellEnd"/>
          </w:p>
          <w:p w14:paraId="07182842" w14:textId="49C253DA"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Senior Manager Regulatory Framework</w:t>
            </w:r>
          </w:p>
        </w:tc>
      </w:tr>
      <w:tr w:rsidR="00C667E7" w:rsidRPr="00666A2A" w14:paraId="04D33DB4" w14:textId="77777777" w:rsidTr="00DD1014">
        <w:trPr>
          <w:trHeight w:val="449"/>
        </w:trPr>
        <w:tc>
          <w:tcPr>
            <w:tcW w:w="939" w:type="dxa"/>
          </w:tcPr>
          <w:p w14:paraId="0BB83CC4" w14:textId="77777777" w:rsidR="00C667E7" w:rsidRPr="00666A2A" w:rsidRDefault="00C667E7" w:rsidP="00B7451A">
            <w:pPr>
              <w:spacing w:before="120" w:after="120" w:line="240" w:lineRule="auto"/>
              <w:jc w:val="center"/>
              <w:rPr>
                <w:rFonts w:ascii="Arial" w:hAnsi="Arial" w:cs="Arial"/>
                <w:b/>
                <w:bCs/>
                <w:sz w:val="23"/>
                <w:szCs w:val="23"/>
              </w:rPr>
            </w:pPr>
            <w:r w:rsidRPr="00666A2A">
              <w:rPr>
                <w:rFonts w:ascii="Arial" w:hAnsi="Arial" w:cs="Arial"/>
                <w:b/>
                <w:bCs/>
                <w:sz w:val="23"/>
                <w:szCs w:val="23"/>
              </w:rPr>
              <w:t>4.</w:t>
            </w:r>
          </w:p>
        </w:tc>
        <w:tc>
          <w:tcPr>
            <w:tcW w:w="5435" w:type="dxa"/>
          </w:tcPr>
          <w:p w14:paraId="35FFDBFB" w14:textId="2A8AC40C"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The International Capital Markets Association</w:t>
            </w:r>
            <w:r w:rsidR="00575C71" w:rsidRPr="00666A2A">
              <w:rPr>
                <w:rFonts w:ascii="Arial" w:hAnsi="Arial" w:cs="Arial"/>
                <w:b/>
                <w:bCs/>
                <w:sz w:val="23"/>
                <w:szCs w:val="23"/>
              </w:rPr>
              <w:t>*</w:t>
            </w:r>
          </w:p>
        </w:tc>
        <w:tc>
          <w:tcPr>
            <w:tcW w:w="1276" w:type="dxa"/>
          </w:tcPr>
          <w:p w14:paraId="33A70F8A" w14:textId="12F94FB9"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ICMA</w:t>
            </w:r>
          </w:p>
        </w:tc>
        <w:tc>
          <w:tcPr>
            <w:tcW w:w="5245" w:type="dxa"/>
          </w:tcPr>
          <w:p w14:paraId="0564421F" w14:textId="72494B77" w:rsidR="001633DD"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 xml:space="preserve">Deena </w:t>
            </w:r>
            <w:proofErr w:type="spellStart"/>
            <w:r w:rsidRPr="00666A2A">
              <w:rPr>
                <w:rFonts w:ascii="Arial" w:hAnsi="Arial" w:cs="Arial"/>
                <w:sz w:val="23"/>
                <w:szCs w:val="23"/>
              </w:rPr>
              <w:t>Seoudy</w:t>
            </w:r>
            <w:proofErr w:type="spellEnd"/>
            <w:r w:rsidRPr="00666A2A">
              <w:rPr>
                <w:rFonts w:ascii="Arial" w:hAnsi="Arial" w:cs="Arial"/>
                <w:sz w:val="23"/>
                <w:szCs w:val="23"/>
              </w:rPr>
              <w:t xml:space="preserve"> </w:t>
            </w:r>
          </w:p>
          <w:p w14:paraId="2B0BF56E" w14:textId="0C0A6228"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Senior Director, Associate Counsel</w:t>
            </w:r>
          </w:p>
        </w:tc>
      </w:tr>
      <w:tr w:rsidR="00C667E7" w:rsidRPr="00666A2A" w14:paraId="57464F22" w14:textId="77777777" w:rsidTr="00DD1014">
        <w:tc>
          <w:tcPr>
            <w:tcW w:w="939" w:type="dxa"/>
          </w:tcPr>
          <w:p w14:paraId="36F2D378" w14:textId="1FE8DCDF" w:rsidR="00C667E7" w:rsidRPr="00666A2A" w:rsidRDefault="00C667E7" w:rsidP="00B7451A">
            <w:pPr>
              <w:spacing w:before="120" w:after="120" w:line="240" w:lineRule="auto"/>
              <w:jc w:val="center"/>
              <w:rPr>
                <w:rFonts w:ascii="Arial" w:hAnsi="Arial" w:cs="Arial"/>
                <w:b/>
                <w:bCs/>
                <w:sz w:val="23"/>
                <w:szCs w:val="23"/>
              </w:rPr>
            </w:pPr>
          </w:p>
        </w:tc>
        <w:tc>
          <w:tcPr>
            <w:tcW w:w="5435" w:type="dxa"/>
          </w:tcPr>
          <w:p w14:paraId="1CA77B76" w14:textId="288FC67E"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The International Securities Lending Association</w:t>
            </w:r>
            <w:r w:rsidR="00575C71" w:rsidRPr="00666A2A">
              <w:rPr>
                <w:rFonts w:ascii="Arial" w:hAnsi="Arial" w:cs="Arial"/>
                <w:b/>
                <w:bCs/>
                <w:sz w:val="23"/>
                <w:szCs w:val="23"/>
              </w:rPr>
              <w:t>*</w:t>
            </w:r>
          </w:p>
        </w:tc>
        <w:tc>
          <w:tcPr>
            <w:tcW w:w="1276" w:type="dxa"/>
          </w:tcPr>
          <w:p w14:paraId="603821AD" w14:textId="4D0364AE"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ISLA</w:t>
            </w:r>
          </w:p>
        </w:tc>
        <w:tc>
          <w:tcPr>
            <w:tcW w:w="5245" w:type="dxa"/>
          </w:tcPr>
          <w:p w14:paraId="1D6843F7" w14:textId="44041014" w:rsidR="001633DD"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 xml:space="preserve">Tina Baker </w:t>
            </w:r>
          </w:p>
          <w:p w14:paraId="6470D272" w14:textId="664C6FC2" w:rsidR="00C667E7" w:rsidRPr="00666A2A" w:rsidRDefault="001633DD" w:rsidP="00B7451A">
            <w:pPr>
              <w:spacing w:before="120" w:after="120" w:line="240" w:lineRule="auto"/>
              <w:rPr>
                <w:rFonts w:ascii="Arial" w:hAnsi="Arial" w:cs="Arial"/>
                <w:sz w:val="23"/>
                <w:szCs w:val="23"/>
              </w:rPr>
            </w:pPr>
            <w:r w:rsidRPr="00666A2A">
              <w:rPr>
                <w:rFonts w:ascii="Arial" w:hAnsi="Arial" w:cs="Arial"/>
                <w:sz w:val="23"/>
                <w:szCs w:val="23"/>
              </w:rPr>
              <w:t>Head of Legal Services</w:t>
            </w:r>
          </w:p>
        </w:tc>
      </w:tr>
      <w:tr w:rsidR="00C667E7" w:rsidRPr="00666A2A" w14:paraId="2EA39CB2" w14:textId="77777777" w:rsidTr="00DD1014">
        <w:tc>
          <w:tcPr>
            <w:tcW w:w="939" w:type="dxa"/>
          </w:tcPr>
          <w:p w14:paraId="3F569E86" w14:textId="713D2C01" w:rsidR="00C667E7" w:rsidRPr="00666A2A" w:rsidRDefault="00575C71" w:rsidP="00B7451A">
            <w:pPr>
              <w:spacing w:before="120" w:after="120" w:line="240" w:lineRule="auto"/>
              <w:jc w:val="center"/>
              <w:rPr>
                <w:rFonts w:ascii="Arial" w:hAnsi="Arial" w:cs="Arial"/>
                <w:b/>
                <w:bCs/>
                <w:sz w:val="23"/>
                <w:szCs w:val="23"/>
              </w:rPr>
            </w:pPr>
            <w:r w:rsidRPr="00666A2A">
              <w:rPr>
                <w:rFonts w:ascii="Arial" w:hAnsi="Arial" w:cs="Arial"/>
                <w:b/>
                <w:bCs/>
                <w:sz w:val="23"/>
                <w:szCs w:val="23"/>
              </w:rPr>
              <w:t>5</w:t>
            </w:r>
            <w:r w:rsidR="00C667E7" w:rsidRPr="00666A2A">
              <w:rPr>
                <w:rFonts w:ascii="Arial" w:hAnsi="Arial" w:cs="Arial"/>
                <w:b/>
                <w:bCs/>
                <w:sz w:val="23"/>
                <w:szCs w:val="23"/>
              </w:rPr>
              <w:t>.</w:t>
            </w:r>
          </w:p>
        </w:tc>
        <w:tc>
          <w:tcPr>
            <w:tcW w:w="5435" w:type="dxa"/>
          </w:tcPr>
          <w:p w14:paraId="790C45FB" w14:textId="6C6A1503"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International Swaps and Derivatives Association Inc.</w:t>
            </w:r>
          </w:p>
        </w:tc>
        <w:tc>
          <w:tcPr>
            <w:tcW w:w="1276" w:type="dxa"/>
          </w:tcPr>
          <w:p w14:paraId="66E59D13" w14:textId="14C98A97"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ISDA</w:t>
            </w:r>
          </w:p>
        </w:tc>
        <w:tc>
          <w:tcPr>
            <w:tcW w:w="5245" w:type="dxa"/>
          </w:tcPr>
          <w:p w14:paraId="2EEA1760" w14:textId="77777777" w:rsidR="00EB27F0"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 xml:space="preserve">Dr Peter Werner </w:t>
            </w:r>
          </w:p>
          <w:p w14:paraId="3B3D02DD" w14:textId="463D0B5F"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Senior Counsel</w:t>
            </w:r>
          </w:p>
        </w:tc>
      </w:tr>
      <w:tr w:rsidR="00C667E7" w:rsidRPr="00666A2A" w14:paraId="43FAC132" w14:textId="77777777" w:rsidTr="00DD1014">
        <w:tc>
          <w:tcPr>
            <w:tcW w:w="939" w:type="dxa"/>
          </w:tcPr>
          <w:p w14:paraId="55BF2C48" w14:textId="4702DE04" w:rsidR="00C667E7" w:rsidRPr="00666A2A" w:rsidRDefault="00575C71" w:rsidP="00B7451A">
            <w:pPr>
              <w:spacing w:before="120" w:after="120" w:line="240" w:lineRule="auto"/>
              <w:jc w:val="center"/>
              <w:rPr>
                <w:rFonts w:ascii="Arial" w:hAnsi="Arial" w:cs="Arial"/>
                <w:b/>
                <w:bCs/>
                <w:sz w:val="23"/>
                <w:szCs w:val="23"/>
              </w:rPr>
            </w:pPr>
            <w:r w:rsidRPr="00666A2A">
              <w:rPr>
                <w:rFonts w:ascii="Arial" w:hAnsi="Arial" w:cs="Arial"/>
                <w:b/>
                <w:bCs/>
                <w:sz w:val="23"/>
                <w:szCs w:val="23"/>
              </w:rPr>
              <w:t>6</w:t>
            </w:r>
            <w:r w:rsidR="00C667E7" w:rsidRPr="00666A2A">
              <w:rPr>
                <w:rFonts w:ascii="Arial" w:hAnsi="Arial" w:cs="Arial"/>
                <w:b/>
                <w:bCs/>
                <w:sz w:val="23"/>
                <w:szCs w:val="23"/>
              </w:rPr>
              <w:t>.</w:t>
            </w:r>
          </w:p>
        </w:tc>
        <w:tc>
          <w:tcPr>
            <w:tcW w:w="5435" w:type="dxa"/>
          </w:tcPr>
          <w:p w14:paraId="2212BB45" w14:textId="63C29AAA"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Nedbank Limited</w:t>
            </w:r>
          </w:p>
        </w:tc>
        <w:tc>
          <w:tcPr>
            <w:tcW w:w="1276" w:type="dxa"/>
          </w:tcPr>
          <w:p w14:paraId="43A71C3C" w14:textId="33C37A14"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Nedbank</w:t>
            </w:r>
          </w:p>
        </w:tc>
        <w:tc>
          <w:tcPr>
            <w:tcW w:w="5245" w:type="dxa"/>
          </w:tcPr>
          <w:p w14:paraId="11389D64" w14:textId="777A2C89"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Michelle Frederick</w:t>
            </w:r>
          </w:p>
        </w:tc>
      </w:tr>
      <w:tr w:rsidR="00C667E7" w:rsidRPr="00666A2A" w14:paraId="02F19951" w14:textId="77777777" w:rsidTr="00575C71">
        <w:tc>
          <w:tcPr>
            <w:tcW w:w="939" w:type="dxa"/>
            <w:tcBorders>
              <w:bottom w:val="single" w:sz="4" w:space="0" w:color="auto"/>
            </w:tcBorders>
          </w:tcPr>
          <w:p w14:paraId="05D27A07" w14:textId="6D2ADB53" w:rsidR="00C667E7" w:rsidRPr="00666A2A" w:rsidRDefault="00575C71" w:rsidP="00B7451A">
            <w:pPr>
              <w:spacing w:before="120" w:after="120" w:line="240" w:lineRule="auto"/>
              <w:jc w:val="center"/>
              <w:rPr>
                <w:rFonts w:ascii="Arial" w:hAnsi="Arial" w:cs="Arial"/>
                <w:b/>
                <w:bCs/>
                <w:sz w:val="23"/>
                <w:szCs w:val="23"/>
              </w:rPr>
            </w:pPr>
            <w:r w:rsidRPr="00666A2A">
              <w:rPr>
                <w:rFonts w:ascii="Arial" w:hAnsi="Arial" w:cs="Arial"/>
                <w:b/>
                <w:bCs/>
                <w:sz w:val="23"/>
                <w:szCs w:val="23"/>
              </w:rPr>
              <w:t>7</w:t>
            </w:r>
            <w:r w:rsidR="00C667E7" w:rsidRPr="00666A2A">
              <w:rPr>
                <w:rFonts w:ascii="Arial" w:hAnsi="Arial" w:cs="Arial"/>
                <w:b/>
                <w:bCs/>
                <w:sz w:val="23"/>
                <w:szCs w:val="23"/>
              </w:rPr>
              <w:t>.</w:t>
            </w:r>
          </w:p>
        </w:tc>
        <w:tc>
          <w:tcPr>
            <w:tcW w:w="5435" w:type="dxa"/>
            <w:tcBorders>
              <w:bottom w:val="single" w:sz="4" w:space="0" w:color="auto"/>
            </w:tcBorders>
          </w:tcPr>
          <w:p w14:paraId="76A0105E" w14:textId="229D0339"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South African Securities Lending Association</w:t>
            </w:r>
          </w:p>
        </w:tc>
        <w:tc>
          <w:tcPr>
            <w:tcW w:w="1276" w:type="dxa"/>
            <w:tcBorders>
              <w:bottom w:val="single" w:sz="4" w:space="0" w:color="auto"/>
            </w:tcBorders>
          </w:tcPr>
          <w:p w14:paraId="75A0DE55" w14:textId="75C27117"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SASLA</w:t>
            </w:r>
          </w:p>
        </w:tc>
        <w:tc>
          <w:tcPr>
            <w:tcW w:w="5245" w:type="dxa"/>
            <w:tcBorders>
              <w:bottom w:val="single" w:sz="4" w:space="0" w:color="auto"/>
            </w:tcBorders>
          </w:tcPr>
          <w:p w14:paraId="377E4A35" w14:textId="1564EF35"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Michael Wright</w:t>
            </w:r>
          </w:p>
        </w:tc>
      </w:tr>
      <w:tr w:rsidR="00C667E7" w:rsidRPr="00666A2A" w14:paraId="5B28ED38" w14:textId="77777777" w:rsidTr="00575C71">
        <w:tc>
          <w:tcPr>
            <w:tcW w:w="939" w:type="dxa"/>
            <w:tcBorders>
              <w:bottom w:val="single" w:sz="4" w:space="0" w:color="auto"/>
            </w:tcBorders>
          </w:tcPr>
          <w:p w14:paraId="09936589" w14:textId="76089D5C" w:rsidR="00C667E7" w:rsidRPr="00666A2A" w:rsidRDefault="00575C71" w:rsidP="00B7451A">
            <w:pPr>
              <w:spacing w:before="120" w:after="120" w:line="240" w:lineRule="auto"/>
              <w:jc w:val="center"/>
              <w:rPr>
                <w:rFonts w:ascii="Arial" w:hAnsi="Arial" w:cs="Arial"/>
                <w:b/>
                <w:bCs/>
                <w:sz w:val="23"/>
                <w:szCs w:val="23"/>
              </w:rPr>
            </w:pPr>
            <w:r w:rsidRPr="00666A2A">
              <w:rPr>
                <w:rFonts w:ascii="Arial" w:hAnsi="Arial" w:cs="Arial"/>
                <w:b/>
                <w:bCs/>
                <w:sz w:val="23"/>
                <w:szCs w:val="23"/>
              </w:rPr>
              <w:t>8</w:t>
            </w:r>
            <w:r w:rsidR="00C667E7" w:rsidRPr="00666A2A">
              <w:rPr>
                <w:rFonts w:ascii="Arial" w:hAnsi="Arial" w:cs="Arial"/>
                <w:b/>
                <w:bCs/>
                <w:sz w:val="23"/>
                <w:szCs w:val="23"/>
              </w:rPr>
              <w:t>.</w:t>
            </w:r>
          </w:p>
        </w:tc>
        <w:tc>
          <w:tcPr>
            <w:tcW w:w="5435" w:type="dxa"/>
            <w:tcBorders>
              <w:bottom w:val="single" w:sz="4" w:space="0" w:color="auto"/>
            </w:tcBorders>
          </w:tcPr>
          <w:p w14:paraId="76AAF995" w14:textId="77FB0D6A"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Standard Bank Group</w:t>
            </w:r>
          </w:p>
        </w:tc>
        <w:tc>
          <w:tcPr>
            <w:tcW w:w="1276" w:type="dxa"/>
            <w:tcBorders>
              <w:bottom w:val="single" w:sz="4" w:space="0" w:color="auto"/>
            </w:tcBorders>
          </w:tcPr>
          <w:p w14:paraId="1835BE89" w14:textId="3C958FCE" w:rsidR="00C667E7" w:rsidRPr="00666A2A" w:rsidRDefault="00EB27F0" w:rsidP="00B7451A">
            <w:pPr>
              <w:spacing w:before="120" w:after="120" w:line="240" w:lineRule="auto"/>
              <w:rPr>
                <w:rFonts w:ascii="Arial" w:hAnsi="Arial" w:cs="Arial"/>
                <w:sz w:val="23"/>
                <w:szCs w:val="23"/>
              </w:rPr>
            </w:pPr>
            <w:r w:rsidRPr="00666A2A">
              <w:rPr>
                <w:rFonts w:ascii="Arial" w:hAnsi="Arial" w:cs="Arial"/>
                <w:sz w:val="23"/>
                <w:szCs w:val="23"/>
              </w:rPr>
              <w:t>SBG</w:t>
            </w:r>
          </w:p>
        </w:tc>
        <w:tc>
          <w:tcPr>
            <w:tcW w:w="5245" w:type="dxa"/>
            <w:tcBorders>
              <w:bottom w:val="single" w:sz="4" w:space="0" w:color="auto"/>
            </w:tcBorders>
          </w:tcPr>
          <w:p w14:paraId="57BBD00A" w14:textId="37A80E6B" w:rsidR="00C667E7" w:rsidRPr="00666A2A" w:rsidRDefault="00EB27F0" w:rsidP="00B7451A">
            <w:pPr>
              <w:spacing w:before="120" w:after="120" w:line="240" w:lineRule="auto"/>
              <w:rPr>
                <w:rFonts w:ascii="Arial" w:hAnsi="Arial" w:cs="Arial"/>
                <w:sz w:val="23"/>
                <w:szCs w:val="23"/>
              </w:rPr>
            </w:pPr>
            <w:proofErr w:type="spellStart"/>
            <w:r w:rsidRPr="00666A2A">
              <w:rPr>
                <w:rFonts w:ascii="Arial" w:hAnsi="Arial" w:cs="Arial"/>
                <w:sz w:val="23"/>
                <w:szCs w:val="23"/>
              </w:rPr>
              <w:t>Annelie</w:t>
            </w:r>
            <w:proofErr w:type="spellEnd"/>
            <w:r w:rsidRPr="00666A2A">
              <w:rPr>
                <w:rFonts w:ascii="Arial" w:hAnsi="Arial" w:cs="Arial"/>
                <w:sz w:val="23"/>
                <w:szCs w:val="23"/>
              </w:rPr>
              <w:t xml:space="preserve"> </w:t>
            </w:r>
            <w:proofErr w:type="spellStart"/>
            <w:r w:rsidRPr="00666A2A">
              <w:rPr>
                <w:rFonts w:ascii="Arial" w:hAnsi="Arial" w:cs="Arial"/>
                <w:sz w:val="23"/>
                <w:szCs w:val="23"/>
              </w:rPr>
              <w:t>Schnaar</w:t>
            </w:r>
            <w:proofErr w:type="spellEnd"/>
            <w:r w:rsidRPr="00666A2A">
              <w:rPr>
                <w:rFonts w:ascii="Arial" w:hAnsi="Arial" w:cs="Arial"/>
                <w:sz w:val="23"/>
                <w:szCs w:val="23"/>
              </w:rPr>
              <w:t>-Campbell</w:t>
            </w:r>
          </w:p>
        </w:tc>
      </w:tr>
      <w:tr w:rsidR="00575C71" w:rsidRPr="00666A2A" w14:paraId="621ED0A3" w14:textId="77777777" w:rsidTr="00575C71">
        <w:tc>
          <w:tcPr>
            <w:tcW w:w="12895" w:type="dxa"/>
            <w:gridSpan w:val="4"/>
            <w:tcBorders>
              <w:top w:val="single" w:sz="4" w:space="0" w:color="auto"/>
              <w:left w:val="nil"/>
              <w:bottom w:val="nil"/>
              <w:right w:val="nil"/>
            </w:tcBorders>
          </w:tcPr>
          <w:p w14:paraId="40323B6E" w14:textId="660E8150" w:rsidR="00575C71" w:rsidRPr="00666A2A" w:rsidRDefault="00575C71" w:rsidP="00575C71">
            <w:pPr>
              <w:spacing w:after="0" w:line="240" w:lineRule="auto"/>
              <w:rPr>
                <w:rFonts w:ascii="Arial" w:hAnsi="Arial" w:cs="Arial"/>
                <w:sz w:val="23"/>
                <w:szCs w:val="23"/>
              </w:rPr>
            </w:pPr>
            <w:r w:rsidRPr="00666A2A">
              <w:rPr>
                <w:rFonts w:ascii="Arial" w:hAnsi="Arial" w:cs="Arial"/>
                <w:b/>
                <w:bCs/>
                <w:sz w:val="23"/>
                <w:szCs w:val="23"/>
              </w:rPr>
              <w:t>*</w:t>
            </w:r>
            <w:r w:rsidRPr="00666A2A">
              <w:rPr>
                <w:rFonts w:ascii="Arial" w:hAnsi="Arial" w:cs="Arial"/>
                <w:sz w:val="23"/>
                <w:szCs w:val="23"/>
              </w:rPr>
              <w:t xml:space="preserve">The ICMA and ISLA submitted their comments jointly and have been deemed as a single respondent for the purposes of this consultation report. </w:t>
            </w:r>
          </w:p>
        </w:tc>
      </w:tr>
    </w:tbl>
    <w:p w14:paraId="069A8C89" w14:textId="77777777" w:rsidR="00C667E7" w:rsidRPr="00666A2A" w:rsidRDefault="00C667E7" w:rsidP="00C667E7">
      <w:pPr>
        <w:spacing w:after="0" w:line="240" w:lineRule="auto"/>
        <w:rPr>
          <w:rFonts w:ascii="Arial" w:hAnsi="Arial" w:cs="Arial"/>
          <w:sz w:val="23"/>
          <w:szCs w:val="23"/>
        </w:rPr>
      </w:pPr>
    </w:p>
    <w:p w14:paraId="3BFD7295" w14:textId="77777777" w:rsidR="00C667E7" w:rsidRPr="00666A2A" w:rsidRDefault="00C667E7" w:rsidP="008F5BA2">
      <w:pPr>
        <w:spacing w:after="0" w:line="240" w:lineRule="auto"/>
        <w:jc w:val="right"/>
        <w:rPr>
          <w:rFonts w:ascii="Arial" w:hAnsi="Arial" w:cs="Arial"/>
          <w:sz w:val="23"/>
          <w:szCs w:val="23"/>
        </w:rPr>
      </w:pPr>
    </w:p>
    <w:p w14:paraId="53CD3589" w14:textId="77777777" w:rsidR="00C76786" w:rsidRPr="00666A2A" w:rsidRDefault="00C76786" w:rsidP="008F5BA2">
      <w:pPr>
        <w:spacing w:after="0" w:line="240" w:lineRule="auto"/>
        <w:jc w:val="right"/>
        <w:rPr>
          <w:rFonts w:ascii="Arial" w:hAnsi="Arial" w:cs="Arial"/>
          <w:sz w:val="23"/>
          <w:szCs w:val="23"/>
        </w:rPr>
      </w:pPr>
    </w:p>
    <w:p w14:paraId="43CCF69E" w14:textId="77777777" w:rsidR="00C76786" w:rsidRPr="00666A2A" w:rsidRDefault="00C76786" w:rsidP="008F5BA2">
      <w:pPr>
        <w:spacing w:after="0" w:line="240" w:lineRule="auto"/>
        <w:jc w:val="right"/>
        <w:rPr>
          <w:rFonts w:ascii="Arial" w:hAnsi="Arial" w:cs="Arial"/>
          <w:sz w:val="23"/>
          <w:szCs w:val="23"/>
        </w:rPr>
      </w:pPr>
    </w:p>
    <w:p w14:paraId="7A9A01B6" w14:textId="77777777" w:rsidR="00C76786" w:rsidRPr="00666A2A" w:rsidRDefault="00C76786" w:rsidP="008F5BA2">
      <w:pPr>
        <w:spacing w:after="0" w:line="240" w:lineRule="auto"/>
        <w:jc w:val="right"/>
        <w:rPr>
          <w:rFonts w:ascii="Arial" w:hAnsi="Arial" w:cs="Arial"/>
          <w:sz w:val="23"/>
          <w:szCs w:val="23"/>
        </w:rPr>
      </w:pPr>
    </w:p>
    <w:p w14:paraId="2E64511C" w14:textId="263989FD" w:rsidR="00C76786" w:rsidRPr="00666A2A" w:rsidRDefault="00C76786" w:rsidP="00C76786">
      <w:pPr>
        <w:tabs>
          <w:tab w:val="left" w:pos="2766"/>
        </w:tabs>
        <w:spacing w:after="0" w:line="240" w:lineRule="auto"/>
        <w:rPr>
          <w:rFonts w:ascii="Arial" w:hAnsi="Arial" w:cs="Arial"/>
          <w:sz w:val="23"/>
          <w:szCs w:val="23"/>
        </w:rPr>
      </w:pPr>
      <w:r w:rsidRPr="00666A2A">
        <w:rPr>
          <w:rFonts w:ascii="Arial" w:hAnsi="Arial" w:cs="Arial"/>
          <w:sz w:val="23"/>
          <w:szCs w:val="23"/>
        </w:rPr>
        <w:tab/>
      </w:r>
    </w:p>
    <w:p w14:paraId="024B48DA" w14:textId="77777777" w:rsidR="00C76786" w:rsidRPr="00666A2A" w:rsidRDefault="00C76786" w:rsidP="008F5BA2">
      <w:pPr>
        <w:spacing w:after="0" w:line="240" w:lineRule="auto"/>
        <w:jc w:val="right"/>
        <w:rPr>
          <w:rFonts w:ascii="Arial" w:hAnsi="Arial" w:cs="Arial"/>
          <w:sz w:val="23"/>
          <w:szCs w:val="23"/>
        </w:rPr>
      </w:pPr>
    </w:p>
    <w:p w14:paraId="51299707" w14:textId="77777777" w:rsidR="00C76786" w:rsidRPr="00666A2A" w:rsidRDefault="00C76786" w:rsidP="008F5BA2">
      <w:pPr>
        <w:spacing w:after="0" w:line="240" w:lineRule="auto"/>
        <w:jc w:val="right"/>
        <w:rPr>
          <w:rFonts w:ascii="Arial" w:hAnsi="Arial" w:cs="Arial"/>
          <w:sz w:val="23"/>
          <w:szCs w:val="23"/>
        </w:rPr>
      </w:pPr>
    </w:p>
    <w:p w14:paraId="168B5CFC" w14:textId="77777777" w:rsidR="00C76786" w:rsidRPr="00666A2A" w:rsidRDefault="00C76786" w:rsidP="008F5BA2">
      <w:pPr>
        <w:spacing w:after="0" w:line="240" w:lineRule="auto"/>
        <w:jc w:val="right"/>
        <w:rPr>
          <w:rFonts w:ascii="Arial" w:hAnsi="Arial" w:cs="Arial"/>
          <w:sz w:val="23"/>
          <w:szCs w:val="23"/>
        </w:rPr>
      </w:pPr>
    </w:p>
    <w:p w14:paraId="33E5B48B" w14:textId="77777777" w:rsidR="00C76786" w:rsidRPr="00666A2A" w:rsidRDefault="00C76786" w:rsidP="008F5BA2">
      <w:pPr>
        <w:spacing w:after="0" w:line="240" w:lineRule="auto"/>
        <w:jc w:val="right"/>
        <w:rPr>
          <w:rFonts w:ascii="Arial" w:hAnsi="Arial" w:cs="Arial"/>
          <w:sz w:val="23"/>
          <w:szCs w:val="23"/>
        </w:rPr>
      </w:pPr>
    </w:p>
    <w:p w14:paraId="15CA518A" w14:textId="77777777" w:rsidR="00C76786" w:rsidRPr="00666A2A" w:rsidRDefault="00C76786" w:rsidP="008F5BA2">
      <w:pPr>
        <w:spacing w:after="0" w:line="240" w:lineRule="auto"/>
        <w:jc w:val="right"/>
        <w:rPr>
          <w:rFonts w:ascii="Arial" w:hAnsi="Arial" w:cs="Arial"/>
          <w:sz w:val="23"/>
          <w:szCs w:val="23"/>
        </w:rPr>
      </w:pPr>
    </w:p>
    <w:p w14:paraId="55F1AA15" w14:textId="77777777" w:rsidR="00C76786" w:rsidRPr="00666A2A" w:rsidRDefault="00C76786" w:rsidP="008F5BA2">
      <w:pPr>
        <w:spacing w:after="0" w:line="240" w:lineRule="auto"/>
        <w:jc w:val="right"/>
        <w:rPr>
          <w:rFonts w:ascii="Arial" w:hAnsi="Arial" w:cs="Arial"/>
          <w:sz w:val="23"/>
          <w:szCs w:val="23"/>
        </w:rPr>
      </w:pPr>
    </w:p>
    <w:p w14:paraId="0A2E7419" w14:textId="77777777" w:rsidR="00C76786" w:rsidRPr="00666A2A" w:rsidRDefault="00C76786" w:rsidP="008F5BA2">
      <w:pPr>
        <w:spacing w:after="0" w:line="240" w:lineRule="auto"/>
        <w:jc w:val="right"/>
        <w:rPr>
          <w:rFonts w:ascii="Arial" w:hAnsi="Arial" w:cs="Arial"/>
          <w:sz w:val="23"/>
          <w:szCs w:val="23"/>
        </w:rPr>
      </w:pPr>
    </w:p>
    <w:p w14:paraId="3804F389" w14:textId="77777777" w:rsidR="00C76786" w:rsidRPr="00666A2A" w:rsidRDefault="00C76786" w:rsidP="008F5BA2">
      <w:pPr>
        <w:spacing w:after="0" w:line="240" w:lineRule="auto"/>
        <w:jc w:val="right"/>
        <w:rPr>
          <w:rFonts w:ascii="Arial" w:hAnsi="Arial" w:cs="Arial"/>
          <w:sz w:val="23"/>
          <w:szCs w:val="23"/>
        </w:rPr>
      </w:pPr>
    </w:p>
    <w:p w14:paraId="58B55435" w14:textId="77777777" w:rsidR="00C76786" w:rsidRPr="00666A2A" w:rsidRDefault="00C76786" w:rsidP="008F5BA2">
      <w:pPr>
        <w:spacing w:after="0" w:line="240" w:lineRule="auto"/>
        <w:jc w:val="right"/>
        <w:rPr>
          <w:rFonts w:ascii="Arial" w:hAnsi="Arial" w:cs="Arial"/>
          <w:sz w:val="23"/>
          <w:szCs w:val="23"/>
        </w:rPr>
      </w:pPr>
    </w:p>
    <w:p w14:paraId="3BDABE18" w14:textId="77777777" w:rsidR="00C76786" w:rsidRPr="00666A2A" w:rsidRDefault="00C76786" w:rsidP="008F5BA2">
      <w:pPr>
        <w:spacing w:after="0" w:line="240" w:lineRule="auto"/>
        <w:jc w:val="right"/>
        <w:rPr>
          <w:rFonts w:ascii="Arial" w:hAnsi="Arial" w:cs="Arial"/>
          <w:sz w:val="23"/>
          <w:szCs w:val="23"/>
        </w:rPr>
      </w:pPr>
    </w:p>
    <w:p w14:paraId="20015824" w14:textId="77777777" w:rsidR="00C76786" w:rsidRPr="00666A2A" w:rsidRDefault="00C76786" w:rsidP="008F5BA2">
      <w:pPr>
        <w:spacing w:after="0" w:line="240" w:lineRule="auto"/>
        <w:jc w:val="right"/>
        <w:rPr>
          <w:rFonts w:ascii="Arial" w:hAnsi="Arial" w:cs="Arial"/>
          <w:sz w:val="23"/>
          <w:szCs w:val="23"/>
        </w:rPr>
      </w:pPr>
    </w:p>
    <w:p w14:paraId="6ACC3E2F" w14:textId="77777777" w:rsidR="00C76786" w:rsidRPr="00666A2A" w:rsidRDefault="00C76786" w:rsidP="008E055C">
      <w:pPr>
        <w:spacing w:after="0" w:line="240" w:lineRule="auto"/>
        <w:rPr>
          <w:rFonts w:ascii="Arial" w:hAnsi="Arial" w:cs="Arial"/>
          <w:sz w:val="23"/>
          <w:szCs w:val="23"/>
        </w:rPr>
      </w:pPr>
    </w:p>
    <w:p w14:paraId="6CCE9225" w14:textId="6D334F91" w:rsidR="00C76786" w:rsidRPr="00666A2A" w:rsidRDefault="00C76786" w:rsidP="008F5BA2">
      <w:pPr>
        <w:spacing w:after="0" w:line="240" w:lineRule="auto"/>
        <w:jc w:val="right"/>
        <w:rPr>
          <w:rFonts w:ascii="Arial" w:hAnsi="Arial" w:cs="Arial"/>
          <w:sz w:val="23"/>
          <w:szCs w:val="23"/>
        </w:rPr>
        <w:sectPr w:rsidR="00C76786" w:rsidRPr="00666A2A" w:rsidSect="00023714">
          <w:headerReference w:type="even" r:id="rId9"/>
          <w:headerReference w:type="default" r:id="rId10"/>
          <w:footerReference w:type="even" r:id="rId11"/>
          <w:footerReference w:type="default" r:id="rId12"/>
          <w:headerReference w:type="first" r:id="rId13"/>
          <w:footerReference w:type="first" r:id="rId14"/>
          <w:pgSz w:w="16838" w:h="23811" w:code="8"/>
          <w:pgMar w:top="1440" w:right="1440" w:bottom="1440" w:left="1440" w:header="706" w:footer="706" w:gutter="0"/>
          <w:cols w:space="708"/>
          <w:docGrid w:linePitch="360"/>
        </w:sectPr>
      </w:pPr>
    </w:p>
    <w:bookmarkEnd w:id="0"/>
    <w:p w14:paraId="7573D7A7" w14:textId="1F6F590E" w:rsidR="0000707C" w:rsidRPr="00666A2A" w:rsidRDefault="00F07109" w:rsidP="00D440AD">
      <w:pPr>
        <w:spacing w:after="0" w:line="240" w:lineRule="auto"/>
        <w:rPr>
          <w:rFonts w:ascii="Arial" w:hAnsi="Arial" w:cs="Arial"/>
          <w:sz w:val="23"/>
          <w:szCs w:val="23"/>
        </w:rPr>
      </w:pPr>
      <w:r w:rsidRPr="00666A2A">
        <w:rPr>
          <w:rFonts w:ascii="Arial" w:hAnsi="Arial" w:cs="Arial"/>
          <w:b/>
          <w:bCs/>
          <w:sz w:val="23"/>
          <w:szCs w:val="23"/>
        </w:rPr>
        <w:lastRenderedPageBreak/>
        <w:t xml:space="preserve">Table </w:t>
      </w:r>
      <w:r w:rsidR="00AA595F" w:rsidRPr="00666A2A">
        <w:rPr>
          <w:rFonts w:ascii="Arial" w:hAnsi="Arial" w:cs="Arial"/>
          <w:b/>
          <w:bCs/>
          <w:sz w:val="23"/>
          <w:szCs w:val="23"/>
        </w:rPr>
        <w:t>2.1</w:t>
      </w:r>
      <w:r w:rsidR="00855049" w:rsidRPr="00666A2A">
        <w:rPr>
          <w:rFonts w:ascii="Arial" w:hAnsi="Arial" w:cs="Arial"/>
          <w:sz w:val="23"/>
          <w:szCs w:val="23"/>
        </w:rPr>
        <w:t xml:space="preserve"> </w:t>
      </w:r>
      <w:r w:rsidR="004F5C0E" w:rsidRPr="00666A2A">
        <w:rPr>
          <w:rFonts w:ascii="Arial" w:hAnsi="Arial" w:cs="Arial"/>
          <w:sz w:val="23"/>
          <w:szCs w:val="23"/>
        </w:rPr>
        <w:t>–</w:t>
      </w:r>
      <w:r w:rsidR="00855049" w:rsidRPr="00666A2A">
        <w:rPr>
          <w:rFonts w:ascii="Arial" w:hAnsi="Arial" w:cs="Arial"/>
          <w:sz w:val="23"/>
          <w:szCs w:val="23"/>
        </w:rPr>
        <w:t xml:space="preserve"> </w:t>
      </w:r>
      <w:r w:rsidR="004F5C0E" w:rsidRPr="00666A2A">
        <w:rPr>
          <w:rFonts w:ascii="Arial" w:hAnsi="Arial" w:cs="Arial"/>
          <w:sz w:val="23"/>
          <w:szCs w:val="23"/>
        </w:rPr>
        <w:t>Detailed</w:t>
      </w:r>
      <w:r w:rsidR="00855049" w:rsidRPr="00666A2A">
        <w:rPr>
          <w:rFonts w:ascii="Arial" w:hAnsi="Arial" w:cs="Arial"/>
          <w:sz w:val="23"/>
          <w:szCs w:val="23"/>
        </w:rPr>
        <w:t xml:space="preserve"> comments and responses</w:t>
      </w:r>
    </w:p>
    <w:p w14:paraId="10AF1B72" w14:textId="77777777" w:rsidR="00855049" w:rsidRPr="00666A2A" w:rsidRDefault="00855049" w:rsidP="00D440AD">
      <w:pPr>
        <w:spacing w:after="0" w:line="240" w:lineRule="auto"/>
        <w:rPr>
          <w:rFonts w:ascii="Arial" w:hAnsi="Arial" w:cs="Arial"/>
          <w:sz w:val="23"/>
          <w:szCs w:val="23"/>
        </w:rPr>
      </w:pPr>
    </w:p>
    <w:tbl>
      <w:tblPr>
        <w:tblStyle w:val="TableGrid"/>
        <w:tblW w:w="20691" w:type="dxa"/>
        <w:tblLayout w:type="fixed"/>
        <w:tblLook w:val="04A0" w:firstRow="1" w:lastRow="0" w:firstColumn="1" w:lastColumn="0" w:noHBand="0" w:noVBand="1"/>
      </w:tblPr>
      <w:tblGrid>
        <w:gridCol w:w="562"/>
        <w:gridCol w:w="1843"/>
        <w:gridCol w:w="1418"/>
        <w:gridCol w:w="9639"/>
        <w:gridCol w:w="7229"/>
      </w:tblGrid>
      <w:tr w:rsidR="00A109C7" w:rsidRPr="00666A2A" w14:paraId="7CBEDC7F" w14:textId="0E335637" w:rsidTr="005D6316">
        <w:trPr>
          <w:tblHeader/>
        </w:trPr>
        <w:tc>
          <w:tcPr>
            <w:tcW w:w="562" w:type="dxa"/>
            <w:shd w:val="clear" w:color="auto" w:fill="BFBFBF" w:themeFill="background1" w:themeFillShade="BF"/>
          </w:tcPr>
          <w:p w14:paraId="550EC408" w14:textId="4E075F18" w:rsidR="00A701F9" w:rsidRPr="00666A2A" w:rsidRDefault="008C4560" w:rsidP="00A1617C">
            <w:pPr>
              <w:tabs>
                <w:tab w:val="left" w:pos="172"/>
              </w:tabs>
              <w:spacing w:before="120" w:after="120"/>
              <w:jc w:val="center"/>
              <w:rPr>
                <w:rFonts w:ascii="Arial" w:hAnsi="Arial" w:cs="Arial"/>
                <w:b/>
                <w:color w:val="FFFFFF" w:themeColor="background1"/>
                <w:sz w:val="23"/>
                <w:szCs w:val="23"/>
                <w:lang w:val="en-GB"/>
              </w:rPr>
            </w:pPr>
            <w:r w:rsidRPr="00666A2A">
              <w:rPr>
                <w:rFonts w:ascii="Arial" w:hAnsi="Arial" w:cs="Arial"/>
                <w:b/>
                <w:color w:val="FFFFFF" w:themeColor="background1"/>
                <w:sz w:val="23"/>
                <w:szCs w:val="23"/>
                <w:lang w:val="en-GB"/>
              </w:rPr>
              <w:t>No</w:t>
            </w:r>
          </w:p>
        </w:tc>
        <w:tc>
          <w:tcPr>
            <w:tcW w:w="1843" w:type="dxa"/>
            <w:shd w:val="clear" w:color="auto" w:fill="BFBFBF" w:themeFill="background1" w:themeFillShade="BF"/>
          </w:tcPr>
          <w:p w14:paraId="1BAD3279" w14:textId="1CF167A1" w:rsidR="00A701F9" w:rsidRPr="00666A2A" w:rsidRDefault="00A701F9" w:rsidP="00A1617C">
            <w:pPr>
              <w:spacing w:before="120" w:after="120"/>
              <w:jc w:val="center"/>
              <w:rPr>
                <w:rFonts w:ascii="Arial" w:hAnsi="Arial" w:cs="Arial"/>
                <w:b/>
                <w:color w:val="FFFFFF" w:themeColor="background1"/>
                <w:sz w:val="23"/>
                <w:szCs w:val="23"/>
                <w:lang w:val="en-GB"/>
              </w:rPr>
            </w:pPr>
            <w:r w:rsidRPr="00666A2A">
              <w:rPr>
                <w:rFonts w:ascii="Arial" w:hAnsi="Arial" w:cs="Arial"/>
                <w:b/>
                <w:color w:val="FFFFFF" w:themeColor="background1"/>
                <w:sz w:val="23"/>
                <w:szCs w:val="23"/>
                <w:lang w:val="en-GB"/>
              </w:rPr>
              <w:t>Commentator</w:t>
            </w:r>
          </w:p>
        </w:tc>
        <w:tc>
          <w:tcPr>
            <w:tcW w:w="1418" w:type="dxa"/>
            <w:shd w:val="clear" w:color="auto" w:fill="BFBFBF" w:themeFill="background1" w:themeFillShade="BF"/>
          </w:tcPr>
          <w:p w14:paraId="328349E3" w14:textId="349ADFF4" w:rsidR="00A701F9" w:rsidRPr="00666A2A" w:rsidRDefault="00A701F9" w:rsidP="00A1617C">
            <w:pPr>
              <w:spacing w:before="120" w:after="120"/>
              <w:jc w:val="center"/>
              <w:rPr>
                <w:rFonts w:ascii="Arial" w:hAnsi="Arial" w:cs="Arial"/>
                <w:color w:val="FFFFFF" w:themeColor="background1"/>
                <w:sz w:val="23"/>
                <w:szCs w:val="23"/>
                <w:lang w:val="en-GB"/>
              </w:rPr>
            </w:pPr>
            <w:r w:rsidRPr="00666A2A">
              <w:rPr>
                <w:rFonts w:ascii="Arial" w:hAnsi="Arial" w:cs="Arial"/>
                <w:b/>
                <w:color w:val="FFFFFF" w:themeColor="background1"/>
                <w:sz w:val="23"/>
                <w:szCs w:val="23"/>
                <w:lang w:val="en-GB"/>
              </w:rPr>
              <w:t>Paragraph</w:t>
            </w:r>
          </w:p>
        </w:tc>
        <w:tc>
          <w:tcPr>
            <w:tcW w:w="9639" w:type="dxa"/>
            <w:shd w:val="clear" w:color="auto" w:fill="BFBFBF" w:themeFill="background1" w:themeFillShade="BF"/>
          </w:tcPr>
          <w:p w14:paraId="71B66147" w14:textId="77777777" w:rsidR="00A701F9" w:rsidRPr="00666A2A" w:rsidRDefault="00A701F9" w:rsidP="00A1617C">
            <w:pPr>
              <w:spacing w:before="120" w:after="120"/>
              <w:jc w:val="center"/>
              <w:rPr>
                <w:rFonts w:ascii="Arial" w:hAnsi="Arial" w:cs="Arial"/>
                <w:color w:val="FFFFFF" w:themeColor="background1"/>
                <w:sz w:val="23"/>
                <w:szCs w:val="23"/>
                <w:lang w:val="en-GB"/>
              </w:rPr>
            </w:pPr>
            <w:r w:rsidRPr="00666A2A">
              <w:rPr>
                <w:rFonts w:ascii="Arial" w:hAnsi="Arial" w:cs="Arial"/>
                <w:b/>
                <w:color w:val="FFFFFF" w:themeColor="background1"/>
                <w:sz w:val="23"/>
                <w:szCs w:val="23"/>
                <w:lang w:val="en-GB"/>
              </w:rPr>
              <w:t>Comment</w:t>
            </w:r>
          </w:p>
        </w:tc>
        <w:tc>
          <w:tcPr>
            <w:tcW w:w="7229" w:type="dxa"/>
            <w:shd w:val="clear" w:color="auto" w:fill="BFBFBF" w:themeFill="background1" w:themeFillShade="BF"/>
          </w:tcPr>
          <w:p w14:paraId="627F357C" w14:textId="6584E2FE" w:rsidR="00A701F9" w:rsidRPr="00666A2A" w:rsidRDefault="00A701F9" w:rsidP="00A1617C">
            <w:pPr>
              <w:spacing w:before="120" w:after="120"/>
              <w:jc w:val="center"/>
              <w:rPr>
                <w:rFonts w:ascii="Arial" w:hAnsi="Arial" w:cs="Arial"/>
                <w:b/>
                <w:color w:val="FFFFFF" w:themeColor="background1"/>
                <w:sz w:val="23"/>
                <w:szCs w:val="23"/>
                <w:lang w:val="en-GB"/>
              </w:rPr>
            </w:pPr>
            <w:r w:rsidRPr="00666A2A">
              <w:rPr>
                <w:rFonts w:ascii="Arial" w:hAnsi="Arial" w:cs="Arial"/>
                <w:b/>
                <w:color w:val="FFFFFF" w:themeColor="background1"/>
                <w:sz w:val="23"/>
                <w:szCs w:val="23"/>
                <w:lang w:val="en-GB"/>
              </w:rPr>
              <w:t>Responses</w:t>
            </w:r>
          </w:p>
        </w:tc>
      </w:tr>
      <w:tr w:rsidR="002F4B9B" w:rsidRPr="00666A2A" w14:paraId="61CDFBA0" w14:textId="77777777" w:rsidTr="00437B4A">
        <w:tc>
          <w:tcPr>
            <w:tcW w:w="20691" w:type="dxa"/>
            <w:gridSpan w:val="5"/>
            <w:shd w:val="clear" w:color="auto" w:fill="F2F2F2" w:themeFill="background1" w:themeFillShade="F2"/>
          </w:tcPr>
          <w:p w14:paraId="7046A8FE" w14:textId="0B441A94" w:rsidR="002F4B9B" w:rsidRPr="00666A2A" w:rsidRDefault="002F4B9B" w:rsidP="00A1617C">
            <w:pPr>
              <w:pStyle w:val="ListParagraph"/>
              <w:tabs>
                <w:tab w:val="left" w:pos="172"/>
              </w:tabs>
              <w:spacing w:before="120" w:after="120" w:line="276" w:lineRule="auto"/>
              <w:ind w:left="788"/>
              <w:jc w:val="center"/>
              <w:rPr>
                <w:rFonts w:ascii="Arial" w:hAnsi="Arial" w:cs="Arial"/>
                <w:b/>
                <w:sz w:val="23"/>
                <w:szCs w:val="23"/>
                <w:lang w:val="en-GB"/>
              </w:rPr>
            </w:pPr>
            <w:r w:rsidRPr="00666A2A">
              <w:rPr>
                <w:rFonts w:ascii="Arial" w:hAnsi="Arial" w:cs="Arial"/>
                <w:b/>
                <w:sz w:val="23"/>
                <w:szCs w:val="23"/>
                <w:lang w:val="en-GB"/>
              </w:rPr>
              <w:t>COMMENTS ON STANDARD</w:t>
            </w:r>
          </w:p>
        </w:tc>
      </w:tr>
      <w:tr w:rsidR="00D440AD" w:rsidRPr="00666A2A" w14:paraId="2FF0D7D6" w14:textId="02AC3926" w:rsidTr="00437B4A">
        <w:tc>
          <w:tcPr>
            <w:tcW w:w="20691" w:type="dxa"/>
            <w:gridSpan w:val="5"/>
            <w:shd w:val="clear" w:color="auto" w:fill="auto"/>
          </w:tcPr>
          <w:p w14:paraId="24190E72" w14:textId="23D2E31B" w:rsidR="00D440AD" w:rsidRPr="00666A2A" w:rsidRDefault="00D440AD" w:rsidP="00A1617C">
            <w:pPr>
              <w:pStyle w:val="ListParagraph"/>
              <w:tabs>
                <w:tab w:val="left" w:pos="172"/>
              </w:tabs>
              <w:spacing w:before="120" w:after="120" w:line="276" w:lineRule="auto"/>
              <w:ind w:left="0"/>
              <w:jc w:val="center"/>
              <w:rPr>
                <w:rFonts w:ascii="Arial" w:hAnsi="Arial" w:cs="Arial"/>
                <w:b/>
                <w:sz w:val="23"/>
                <w:szCs w:val="23"/>
                <w:lang w:val="en-GB"/>
              </w:rPr>
            </w:pPr>
            <w:r w:rsidRPr="00666A2A">
              <w:rPr>
                <w:rFonts w:ascii="Arial" w:hAnsi="Arial" w:cs="Arial"/>
                <w:b/>
                <w:sz w:val="23"/>
                <w:szCs w:val="23"/>
                <w:lang w:val="en-GB"/>
              </w:rPr>
              <w:t>Commencement</w:t>
            </w:r>
          </w:p>
        </w:tc>
      </w:tr>
      <w:tr w:rsidR="008C4560" w:rsidRPr="00666A2A" w14:paraId="1D3F4E49" w14:textId="704BE243" w:rsidTr="003C781F">
        <w:tc>
          <w:tcPr>
            <w:tcW w:w="562" w:type="dxa"/>
          </w:tcPr>
          <w:p w14:paraId="4594FE57" w14:textId="0722256E" w:rsidR="0076679D" w:rsidRPr="00666A2A" w:rsidRDefault="0076679D" w:rsidP="0042243B">
            <w:pPr>
              <w:pStyle w:val="ListParagraph"/>
              <w:tabs>
                <w:tab w:val="left" w:pos="172"/>
              </w:tabs>
              <w:spacing w:after="120" w:line="276" w:lineRule="auto"/>
              <w:ind w:left="0"/>
              <w:rPr>
                <w:rStyle w:val="Strong"/>
                <w:rFonts w:ascii="Arial" w:hAnsi="Arial" w:cs="Arial"/>
                <w:b w:val="0"/>
                <w:sz w:val="23"/>
                <w:szCs w:val="23"/>
                <w:lang w:val="en-ZA"/>
              </w:rPr>
            </w:pPr>
          </w:p>
        </w:tc>
        <w:tc>
          <w:tcPr>
            <w:tcW w:w="1843" w:type="dxa"/>
          </w:tcPr>
          <w:p w14:paraId="55F82D74" w14:textId="2B9F9C52" w:rsidR="0076679D" w:rsidRPr="00666A2A" w:rsidRDefault="0076679D" w:rsidP="00580B7B">
            <w:pPr>
              <w:spacing w:after="120"/>
              <w:rPr>
                <w:rFonts w:ascii="Arial" w:hAnsi="Arial" w:cs="Arial"/>
                <w:sz w:val="23"/>
                <w:szCs w:val="23"/>
                <w:lang w:val="en-GB"/>
              </w:rPr>
            </w:pPr>
          </w:p>
        </w:tc>
        <w:tc>
          <w:tcPr>
            <w:tcW w:w="1418" w:type="dxa"/>
          </w:tcPr>
          <w:p w14:paraId="7FEE2206" w14:textId="5D017470" w:rsidR="0076679D" w:rsidRPr="00666A2A" w:rsidRDefault="00F31BCB" w:rsidP="00580B7B">
            <w:pPr>
              <w:spacing w:after="120"/>
              <w:rPr>
                <w:rFonts w:ascii="Arial" w:hAnsi="Arial" w:cs="Arial"/>
                <w:sz w:val="23"/>
                <w:szCs w:val="23"/>
                <w:lang w:val="en-GB"/>
              </w:rPr>
            </w:pPr>
            <w:r w:rsidRPr="00666A2A">
              <w:rPr>
                <w:rFonts w:ascii="Arial" w:hAnsi="Arial" w:cs="Arial"/>
                <w:sz w:val="23"/>
                <w:szCs w:val="23"/>
                <w:lang w:val="en-GB"/>
              </w:rPr>
              <w:t>1</w:t>
            </w:r>
          </w:p>
        </w:tc>
        <w:tc>
          <w:tcPr>
            <w:tcW w:w="9639" w:type="dxa"/>
          </w:tcPr>
          <w:p w14:paraId="6D9C38E3" w14:textId="34C62FF8" w:rsidR="0076679D" w:rsidRPr="00666A2A" w:rsidRDefault="00A50C90" w:rsidP="00580B7B">
            <w:pPr>
              <w:spacing w:after="120"/>
              <w:rPr>
                <w:rFonts w:ascii="Arial" w:hAnsi="Arial" w:cs="Arial"/>
                <w:sz w:val="23"/>
                <w:szCs w:val="23"/>
                <w:lang w:val="en-GB"/>
              </w:rPr>
            </w:pPr>
            <w:r w:rsidRPr="00666A2A">
              <w:rPr>
                <w:rFonts w:ascii="Arial" w:eastAsia="Times New Roman" w:hAnsi="Arial" w:cs="Arial"/>
                <w:sz w:val="23"/>
                <w:szCs w:val="23"/>
                <w:lang w:val="en-GB"/>
              </w:rPr>
              <w:t>NO COMMENT</w:t>
            </w:r>
            <w:r w:rsidR="007C79C6" w:rsidRPr="00666A2A">
              <w:rPr>
                <w:rFonts w:ascii="Arial" w:eastAsia="Times New Roman" w:hAnsi="Arial" w:cs="Arial"/>
                <w:sz w:val="23"/>
                <w:szCs w:val="23"/>
                <w:lang w:val="en-GB"/>
              </w:rPr>
              <w:t>S</w:t>
            </w:r>
          </w:p>
        </w:tc>
        <w:tc>
          <w:tcPr>
            <w:tcW w:w="7229" w:type="dxa"/>
          </w:tcPr>
          <w:p w14:paraId="2A3413AF" w14:textId="6C5F1E98" w:rsidR="0076679D" w:rsidRPr="00666A2A" w:rsidRDefault="0076679D" w:rsidP="00580B7B">
            <w:pPr>
              <w:spacing w:after="120"/>
              <w:rPr>
                <w:rFonts w:ascii="Arial" w:eastAsia="Times New Roman" w:hAnsi="Arial" w:cs="Arial"/>
                <w:sz w:val="23"/>
                <w:szCs w:val="23"/>
                <w:lang w:val="en-GB"/>
              </w:rPr>
            </w:pPr>
          </w:p>
        </w:tc>
      </w:tr>
      <w:tr w:rsidR="00433A2E" w:rsidRPr="00666A2A" w14:paraId="49202CE7" w14:textId="6D60966B" w:rsidTr="00437B4A">
        <w:tc>
          <w:tcPr>
            <w:tcW w:w="20691" w:type="dxa"/>
            <w:gridSpan w:val="5"/>
            <w:shd w:val="clear" w:color="auto" w:fill="auto"/>
          </w:tcPr>
          <w:p w14:paraId="2D77692E" w14:textId="0A45BF47" w:rsidR="00433A2E" w:rsidRPr="00666A2A" w:rsidRDefault="00433A2E" w:rsidP="00A1617C">
            <w:pPr>
              <w:tabs>
                <w:tab w:val="left" w:pos="172"/>
              </w:tabs>
              <w:spacing w:before="120" w:after="120"/>
              <w:jc w:val="center"/>
              <w:rPr>
                <w:rFonts w:ascii="Arial" w:hAnsi="Arial" w:cs="Arial"/>
                <w:b/>
                <w:sz w:val="23"/>
                <w:szCs w:val="23"/>
                <w:lang w:val="en-GB"/>
              </w:rPr>
            </w:pPr>
            <w:r w:rsidRPr="00666A2A">
              <w:rPr>
                <w:rFonts w:ascii="Arial" w:hAnsi="Arial" w:cs="Arial"/>
                <w:b/>
                <w:sz w:val="23"/>
                <w:szCs w:val="23"/>
                <w:lang w:val="en-GB"/>
              </w:rPr>
              <w:t>Legislative authority</w:t>
            </w:r>
          </w:p>
        </w:tc>
      </w:tr>
      <w:tr w:rsidR="002F0DCD" w:rsidRPr="00666A2A" w14:paraId="1B1DE04E" w14:textId="2FC1B612" w:rsidTr="003C781F">
        <w:tc>
          <w:tcPr>
            <w:tcW w:w="562" w:type="dxa"/>
          </w:tcPr>
          <w:p w14:paraId="65EAF23A" w14:textId="3BCB0DA1" w:rsidR="007B3FD7" w:rsidRPr="00666A2A" w:rsidRDefault="007B3FD7" w:rsidP="0042243B">
            <w:pPr>
              <w:pStyle w:val="ListParagraph"/>
              <w:tabs>
                <w:tab w:val="left" w:pos="172"/>
              </w:tabs>
              <w:spacing w:after="120" w:line="276" w:lineRule="auto"/>
              <w:ind w:left="0"/>
              <w:rPr>
                <w:rFonts w:ascii="Arial" w:hAnsi="Arial" w:cs="Arial"/>
                <w:bCs/>
                <w:sz w:val="23"/>
                <w:szCs w:val="23"/>
                <w:lang w:val="en-GB"/>
              </w:rPr>
            </w:pPr>
          </w:p>
        </w:tc>
        <w:tc>
          <w:tcPr>
            <w:tcW w:w="1843" w:type="dxa"/>
          </w:tcPr>
          <w:p w14:paraId="2F405FCF" w14:textId="37ABAFC6" w:rsidR="007B3FD7" w:rsidRPr="00666A2A" w:rsidRDefault="007B3FD7" w:rsidP="00580B7B">
            <w:pPr>
              <w:spacing w:after="120"/>
              <w:rPr>
                <w:rFonts w:ascii="Arial" w:hAnsi="Arial" w:cs="Arial"/>
                <w:sz w:val="23"/>
                <w:szCs w:val="23"/>
                <w:lang w:val="en-GB"/>
              </w:rPr>
            </w:pPr>
          </w:p>
        </w:tc>
        <w:tc>
          <w:tcPr>
            <w:tcW w:w="1418" w:type="dxa"/>
          </w:tcPr>
          <w:p w14:paraId="015B76A3" w14:textId="1BDCE1F5" w:rsidR="007B3FD7" w:rsidRPr="00666A2A" w:rsidRDefault="00F31BCB" w:rsidP="00580B7B">
            <w:pPr>
              <w:spacing w:after="120"/>
              <w:rPr>
                <w:rFonts w:ascii="Arial" w:hAnsi="Arial" w:cs="Arial"/>
                <w:sz w:val="23"/>
                <w:szCs w:val="23"/>
                <w:lang w:val="en-GB"/>
              </w:rPr>
            </w:pPr>
            <w:r w:rsidRPr="00666A2A">
              <w:rPr>
                <w:rFonts w:ascii="Arial" w:hAnsi="Arial" w:cs="Arial"/>
                <w:sz w:val="23"/>
                <w:szCs w:val="23"/>
                <w:lang w:val="en-GB"/>
              </w:rPr>
              <w:t>2</w:t>
            </w:r>
          </w:p>
        </w:tc>
        <w:tc>
          <w:tcPr>
            <w:tcW w:w="9639" w:type="dxa"/>
          </w:tcPr>
          <w:p w14:paraId="2CE2FD58" w14:textId="38CB4FA1" w:rsidR="007B3FD7" w:rsidRPr="00666A2A" w:rsidRDefault="00A50C90" w:rsidP="00580B7B">
            <w:pPr>
              <w:spacing w:after="120"/>
              <w:rPr>
                <w:rFonts w:ascii="Arial" w:hAnsi="Arial" w:cs="Arial"/>
                <w:sz w:val="23"/>
                <w:szCs w:val="23"/>
                <w:lang w:val="en-GB"/>
              </w:rPr>
            </w:pPr>
            <w:r w:rsidRPr="00666A2A">
              <w:rPr>
                <w:rFonts w:ascii="Arial" w:eastAsia="Times New Roman" w:hAnsi="Arial" w:cs="Arial"/>
                <w:sz w:val="23"/>
                <w:szCs w:val="23"/>
                <w:lang w:val="en-GB"/>
              </w:rPr>
              <w:t>NO COMMENT</w:t>
            </w:r>
            <w:r w:rsidR="007C79C6" w:rsidRPr="00666A2A">
              <w:rPr>
                <w:rFonts w:ascii="Arial" w:eastAsia="Times New Roman" w:hAnsi="Arial" w:cs="Arial"/>
                <w:sz w:val="23"/>
                <w:szCs w:val="23"/>
                <w:lang w:val="en-GB"/>
              </w:rPr>
              <w:t>S</w:t>
            </w:r>
          </w:p>
        </w:tc>
        <w:tc>
          <w:tcPr>
            <w:tcW w:w="7229" w:type="dxa"/>
          </w:tcPr>
          <w:p w14:paraId="35728DFB" w14:textId="51A74330" w:rsidR="007B3FD7" w:rsidRPr="00666A2A" w:rsidRDefault="007B3FD7" w:rsidP="00580B7B">
            <w:pPr>
              <w:spacing w:after="120"/>
              <w:rPr>
                <w:rFonts w:ascii="Arial" w:eastAsia="Times New Roman" w:hAnsi="Arial" w:cs="Arial"/>
                <w:sz w:val="23"/>
                <w:szCs w:val="23"/>
                <w:lang w:val="en-GB"/>
              </w:rPr>
            </w:pPr>
          </w:p>
        </w:tc>
      </w:tr>
      <w:tr w:rsidR="007B3FD7" w:rsidRPr="00666A2A" w14:paraId="27387E59" w14:textId="0E7E9AA6" w:rsidTr="00437B4A">
        <w:tc>
          <w:tcPr>
            <w:tcW w:w="20691" w:type="dxa"/>
            <w:gridSpan w:val="5"/>
            <w:shd w:val="clear" w:color="auto" w:fill="auto"/>
          </w:tcPr>
          <w:p w14:paraId="29FF960B" w14:textId="157CE9FE" w:rsidR="007B3FD7" w:rsidRPr="00666A2A" w:rsidRDefault="007B3FD7" w:rsidP="00A1617C">
            <w:pPr>
              <w:pStyle w:val="ListParagraph"/>
              <w:tabs>
                <w:tab w:val="left" w:pos="172"/>
              </w:tabs>
              <w:spacing w:before="120" w:after="120" w:line="276" w:lineRule="auto"/>
              <w:jc w:val="center"/>
              <w:rPr>
                <w:rFonts w:ascii="Arial" w:hAnsi="Arial" w:cs="Arial"/>
                <w:b/>
                <w:sz w:val="23"/>
                <w:szCs w:val="23"/>
                <w:lang w:val="en-GB"/>
              </w:rPr>
            </w:pPr>
            <w:r w:rsidRPr="00666A2A">
              <w:rPr>
                <w:rFonts w:ascii="Arial" w:hAnsi="Arial" w:cs="Arial"/>
                <w:b/>
                <w:sz w:val="23"/>
                <w:szCs w:val="23"/>
                <w:lang w:val="en-GB"/>
              </w:rPr>
              <w:t>Definitions and interpretation</w:t>
            </w:r>
          </w:p>
        </w:tc>
      </w:tr>
      <w:tr w:rsidR="008C4560" w:rsidRPr="00666A2A" w14:paraId="2519F8EE" w14:textId="77777777" w:rsidTr="003C781F">
        <w:tc>
          <w:tcPr>
            <w:tcW w:w="562" w:type="dxa"/>
          </w:tcPr>
          <w:p w14:paraId="73E0B1BB" w14:textId="77777777" w:rsidR="00173258" w:rsidRPr="00666A2A" w:rsidRDefault="00173258" w:rsidP="00580B7B">
            <w:pPr>
              <w:pStyle w:val="ListParagraph"/>
              <w:numPr>
                <w:ilvl w:val="0"/>
                <w:numId w:val="15"/>
              </w:numPr>
              <w:tabs>
                <w:tab w:val="left" w:pos="172"/>
              </w:tabs>
              <w:spacing w:after="120" w:line="276" w:lineRule="auto"/>
              <w:ind w:left="0" w:firstLine="0"/>
              <w:jc w:val="center"/>
              <w:rPr>
                <w:rFonts w:ascii="Arial" w:hAnsi="Arial" w:cs="Arial"/>
                <w:bCs/>
                <w:color w:val="000000"/>
                <w:sz w:val="23"/>
                <w:szCs w:val="23"/>
              </w:rPr>
            </w:pPr>
          </w:p>
        </w:tc>
        <w:tc>
          <w:tcPr>
            <w:tcW w:w="1843" w:type="dxa"/>
          </w:tcPr>
          <w:p w14:paraId="0E0F5097" w14:textId="0D87B361" w:rsidR="00173258" w:rsidRPr="00666A2A" w:rsidRDefault="00173258" w:rsidP="00580B7B">
            <w:pPr>
              <w:spacing w:after="120"/>
              <w:jc w:val="both"/>
              <w:rPr>
                <w:rFonts w:ascii="Arial" w:hAnsi="Arial" w:cs="Arial"/>
                <w:sz w:val="23"/>
                <w:szCs w:val="23"/>
              </w:rPr>
            </w:pPr>
            <w:r w:rsidRPr="00666A2A">
              <w:rPr>
                <w:rFonts w:ascii="Arial" w:hAnsi="Arial" w:cs="Arial"/>
                <w:sz w:val="23"/>
                <w:szCs w:val="23"/>
              </w:rPr>
              <w:t>BASA</w:t>
            </w:r>
          </w:p>
        </w:tc>
        <w:tc>
          <w:tcPr>
            <w:tcW w:w="1418" w:type="dxa"/>
          </w:tcPr>
          <w:p w14:paraId="7C937BDB" w14:textId="1DA7AECB" w:rsidR="00173258"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410379F1" w14:textId="727F994C" w:rsidR="00173258" w:rsidRPr="00666A2A" w:rsidRDefault="00173258" w:rsidP="00A1617C">
            <w:pPr>
              <w:pStyle w:val="ListParagraph"/>
              <w:spacing w:after="120" w:line="276" w:lineRule="auto"/>
              <w:ind w:left="360" w:hanging="360"/>
              <w:jc w:val="both"/>
              <w:rPr>
                <w:rFonts w:ascii="Arial" w:hAnsi="Arial" w:cs="Arial"/>
                <w:sz w:val="23"/>
                <w:szCs w:val="23"/>
                <w:lang w:val="en-ZA"/>
              </w:rPr>
            </w:pPr>
            <w:r w:rsidRPr="00666A2A">
              <w:rPr>
                <w:rFonts w:ascii="Arial" w:hAnsi="Arial" w:cs="Arial"/>
                <w:sz w:val="23"/>
                <w:szCs w:val="23"/>
                <w:lang w:val="en-ZA"/>
              </w:rPr>
              <w:t>“Termination right” Termination rights should be defined with reference to an event of default.</w:t>
            </w:r>
          </w:p>
        </w:tc>
        <w:tc>
          <w:tcPr>
            <w:tcW w:w="7229" w:type="dxa"/>
          </w:tcPr>
          <w:p w14:paraId="3D69F648" w14:textId="551696E1" w:rsidR="00173258" w:rsidRPr="00666A2A" w:rsidRDefault="00DB0CB3" w:rsidP="00A1617C">
            <w:pPr>
              <w:spacing w:after="120"/>
              <w:jc w:val="both"/>
              <w:rPr>
                <w:rFonts w:ascii="Arial" w:hAnsi="Arial" w:cs="Arial"/>
                <w:sz w:val="23"/>
                <w:szCs w:val="23"/>
                <w:lang w:val="en-GB"/>
              </w:rPr>
            </w:pPr>
            <w:r w:rsidRPr="00666A2A">
              <w:rPr>
                <w:rFonts w:ascii="Arial" w:hAnsi="Arial" w:cs="Arial"/>
                <w:sz w:val="23"/>
                <w:szCs w:val="23"/>
                <w:lang w:val="en-GB"/>
              </w:rPr>
              <w:t>The Authorit</w:t>
            </w:r>
            <w:r w:rsidR="00AA246B" w:rsidRPr="00666A2A">
              <w:rPr>
                <w:rFonts w:ascii="Arial" w:hAnsi="Arial" w:cs="Arial"/>
                <w:sz w:val="23"/>
                <w:szCs w:val="23"/>
                <w:lang w:val="en-GB"/>
              </w:rPr>
              <w:t>ies</w:t>
            </w:r>
            <w:r w:rsidRPr="00666A2A">
              <w:rPr>
                <w:rFonts w:ascii="Arial" w:hAnsi="Arial" w:cs="Arial"/>
                <w:sz w:val="23"/>
                <w:szCs w:val="23"/>
                <w:lang w:val="en-GB"/>
              </w:rPr>
              <w:t xml:space="preserve"> disagree with the proposal</w:t>
            </w:r>
            <w:r w:rsidR="00680AE6">
              <w:rPr>
                <w:rFonts w:ascii="Arial" w:hAnsi="Arial" w:cs="Arial"/>
                <w:sz w:val="23"/>
                <w:szCs w:val="23"/>
                <w:lang w:val="en-GB"/>
              </w:rPr>
              <w:t xml:space="preserve"> because it is </w:t>
            </w:r>
            <w:r w:rsidRPr="00666A2A">
              <w:rPr>
                <w:rFonts w:ascii="Arial" w:hAnsi="Arial" w:cs="Arial"/>
                <w:sz w:val="23"/>
                <w:szCs w:val="23"/>
                <w:lang w:val="en-GB"/>
              </w:rPr>
              <w:t>inconsiste</w:t>
            </w:r>
            <w:r w:rsidR="00680AE6">
              <w:rPr>
                <w:rFonts w:ascii="Arial" w:hAnsi="Arial" w:cs="Arial"/>
                <w:sz w:val="23"/>
                <w:szCs w:val="23"/>
                <w:lang w:val="en-GB"/>
              </w:rPr>
              <w:t>nt</w:t>
            </w:r>
            <w:r w:rsidRPr="00666A2A">
              <w:rPr>
                <w:rFonts w:ascii="Arial" w:hAnsi="Arial" w:cs="Arial"/>
                <w:sz w:val="23"/>
                <w:szCs w:val="23"/>
                <w:lang w:val="en-GB"/>
              </w:rPr>
              <w:t xml:space="preserve"> with the principle provided for under sections 166L and 166</w:t>
            </w:r>
            <w:proofErr w:type="gramStart"/>
            <w:r w:rsidRPr="00666A2A">
              <w:rPr>
                <w:rFonts w:ascii="Arial" w:hAnsi="Arial" w:cs="Arial"/>
                <w:sz w:val="23"/>
                <w:szCs w:val="23"/>
                <w:lang w:val="en-GB"/>
              </w:rPr>
              <w:t>R(</w:t>
            </w:r>
            <w:proofErr w:type="gramEnd"/>
            <w:r w:rsidRPr="00666A2A">
              <w:rPr>
                <w:rFonts w:ascii="Arial" w:hAnsi="Arial" w:cs="Arial"/>
                <w:sz w:val="23"/>
                <w:szCs w:val="23"/>
                <w:lang w:val="en-GB"/>
              </w:rPr>
              <w:t xml:space="preserve">4) of the Act. These sections of the primary legislation </w:t>
            </w:r>
            <w:r w:rsidR="00F60BE3" w:rsidRPr="00666A2A">
              <w:rPr>
                <w:rFonts w:ascii="Arial" w:hAnsi="Arial" w:cs="Arial"/>
                <w:sz w:val="23"/>
                <w:szCs w:val="23"/>
                <w:lang w:val="en-GB"/>
              </w:rPr>
              <w:t xml:space="preserve">only </w:t>
            </w:r>
            <w:r w:rsidR="00D63D04" w:rsidRPr="00666A2A">
              <w:rPr>
                <w:rFonts w:ascii="Arial" w:hAnsi="Arial" w:cs="Arial"/>
                <w:sz w:val="23"/>
                <w:szCs w:val="23"/>
                <w:lang w:val="en-GB"/>
              </w:rPr>
              <w:t>reference</w:t>
            </w:r>
            <w:r w:rsidR="00F60BE3" w:rsidRPr="00666A2A">
              <w:rPr>
                <w:rFonts w:ascii="Arial" w:hAnsi="Arial" w:cs="Arial"/>
                <w:sz w:val="23"/>
                <w:szCs w:val="23"/>
                <w:lang w:val="en-GB"/>
              </w:rPr>
              <w:t xml:space="preserve"> the placing or proposal to place a designated institution in resolution.  </w:t>
            </w:r>
          </w:p>
        </w:tc>
      </w:tr>
      <w:tr w:rsidR="008C4560" w:rsidRPr="00666A2A" w14:paraId="7C53A6B0" w14:textId="77777777" w:rsidTr="003C781F">
        <w:tc>
          <w:tcPr>
            <w:tcW w:w="562" w:type="dxa"/>
          </w:tcPr>
          <w:p w14:paraId="5BFC328E" w14:textId="1D5477D8" w:rsidR="007A4FEA" w:rsidRPr="00666A2A" w:rsidRDefault="007A4FEA" w:rsidP="00580B7B">
            <w:pPr>
              <w:pStyle w:val="ListParagraph"/>
              <w:numPr>
                <w:ilvl w:val="0"/>
                <w:numId w:val="15"/>
              </w:numPr>
              <w:tabs>
                <w:tab w:val="left" w:pos="172"/>
              </w:tabs>
              <w:spacing w:after="120" w:line="276" w:lineRule="auto"/>
              <w:ind w:left="0" w:firstLine="0"/>
              <w:jc w:val="center"/>
              <w:rPr>
                <w:rFonts w:ascii="Arial" w:hAnsi="Arial" w:cs="Arial"/>
                <w:bCs/>
                <w:color w:val="000000"/>
                <w:sz w:val="23"/>
                <w:szCs w:val="23"/>
              </w:rPr>
            </w:pPr>
          </w:p>
        </w:tc>
        <w:tc>
          <w:tcPr>
            <w:tcW w:w="1843" w:type="dxa"/>
          </w:tcPr>
          <w:p w14:paraId="752C6160" w14:textId="36CC51AE" w:rsidR="007A4FEA" w:rsidRPr="00666A2A" w:rsidRDefault="007A4FEA" w:rsidP="00580B7B">
            <w:pPr>
              <w:spacing w:after="120"/>
              <w:jc w:val="both"/>
              <w:rPr>
                <w:rFonts w:ascii="Arial" w:hAnsi="Arial" w:cs="Arial"/>
                <w:sz w:val="23"/>
                <w:szCs w:val="23"/>
                <w:lang w:val="en-GB"/>
              </w:rPr>
            </w:pPr>
            <w:r w:rsidRPr="00666A2A">
              <w:rPr>
                <w:rFonts w:ascii="Arial" w:hAnsi="Arial" w:cs="Arial"/>
                <w:sz w:val="23"/>
                <w:szCs w:val="23"/>
              </w:rPr>
              <w:t>BASA</w:t>
            </w:r>
          </w:p>
        </w:tc>
        <w:tc>
          <w:tcPr>
            <w:tcW w:w="1418" w:type="dxa"/>
          </w:tcPr>
          <w:p w14:paraId="42A0A061" w14:textId="7B4B22FA" w:rsidR="007A4FEA"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2735707F" w14:textId="5FB467DB" w:rsidR="007A4FEA" w:rsidRPr="00666A2A" w:rsidRDefault="007A4FEA" w:rsidP="00A1617C">
            <w:pPr>
              <w:pStyle w:val="ListParagraph"/>
              <w:spacing w:after="120" w:line="276" w:lineRule="auto"/>
              <w:ind w:left="37" w:hanging="37"/>
              <w:jc w:val="both"/>
              <w:rPr>
                <w:rFonts w:ascii="Arial" w:hAnsi="Arial" w:cs="Arial"/>
                <w:sz w:val="23"/>
                <w:szCs w:val="23"/>
                <w:lang w:val="en-GB"/>
              </w:rPr>
            </w:pPr>
            <w:r w:rsidRPr="00666A2A">
              <w:rPr>
                <w:rFonts w:ascii="Arial" w:hAnsi="Arial" w:cs="Arial"/>
                <w:sz w:val="23"/>
                <w:szCs w:val="23"/>
                <w:lang w:val="en-ZA"/>
              </w:rPr>
              <w:t>“Payment System” The Financial Sector Laws Amendment Act refers to the definition in the National Payments Systems Act, 78 of 1998. It is recommended that a new definition not be created and that the cross-reference to the National Payment Systems Act be referenced.</w:t>
            </w:r>
          </w:p>
        </w:tc>
        <w:tc>
          <w:tcPr>
            <w:tcW w:w="7229" w:type="dxa"/>
          </w:tcPr>
          <w:p w14:paraId="48298803" w14:textId="3B08F939" w:rsidR="007A4FEA" w:rsidRPr="00666A2A" w:rsidRDefault="00DD0C1D" w:rsidP="00A1617C">
            <w:pPr>
              <w:spacing w:after="120"/>
              <w:jc w:val="both"/>
              <w:rPr>
                <w:rFonts w:ascii="Arial" w:hAnsi="Arial" w:cs="Arial"/>
                <w:sz w:val="23"/>
                <w:szCs w:val="23"/>
                <w:lang w:val="en-GB"/>
              </w:rPr>
            </w:pPr>
            <w:r w:rsidRPr="00666A2A">
              <w:rPr>
                <w:rFonts w:ascii="Arial" w:hAnsi="Arial" w:cs="Arial"/>
                <w:sz w:val="23"/>
                <w:szCs w:val="23"/>
                <w:lang w:val="en-GB"/>
              </w:rPr>
              <w:t>The comment is n</w:t>
            </w:r>
            <w:r w:rsidR="00D63D04" w:rsidRPr="00666A2A">
              <w:rPr>
                <w:rFonts w:ascii="Arial" w:hAnsi="Arial" w:cs="Arial"/>
                <w:sz w:val="23"/>
                <w:szCs w:val="23"/>
                <w:lang w:val="en-GB"/>
              </w:rPr>
              <w:t>oted. The definition has been amended in line with the comment.</w:t>
            </w:r>
          </w:p>
        </w:tc>
      </w:tr>
      <w:tr w:rsidR="008C4560" w:rsidRPr="00666A2A" w14:paraId="2F41996F" w14:textId="77777777" w:rsidTr="003C781F">
        <w:tc>
          <w:tcPr>
            <w:tcW w:w="562" w:type="dxa"/>
          </w:tcPr>
          <w:p w14:paraId="56247850" w14:textId="4C864B25" w:rsidR="007A4FEA" w:rsidRPr="00666A2A" w:rsidRDefault="007A4FEA" w:rsidP="00580B7B">
            <w:pPr>
              <w:pStyle w:val="ListParagraph"/>
              <w:numPr>
                <w:ilvl w:val="0"/>
                <w:numId w:val="15"/>
              </w:numPr>
              <w:tabs>
                <w:tab w:val="left" w:pos="172"/>
              </w:tabs>
              <w:spacing w:after="120" w:line="276" w:lineRule="auto"/>
              <w:ind w:left="0" w:firstLine="0"/>
              <w:jc w:val="center"/>
              <w:rPr>
                <w:rFonts w:ascii="Arial" w:hAnsi="Arial" w:cs="Arial"/>
                <w:bCs/>
                <w:color w:val="000000"/>
                <w:sz w:val="23"/>
                <w:szCs w:val="23"/>
              </w:rPr>
            </w:pPr>
          </w:p>
        </w:tc>
        <w:tc>
          <w:tcPr>
            <w:tcW w:w="1843" w:type="dxa"/>
          </w:tcPr>
          <w:p w14:paraId="50286D1A" w14:textId="432B4022" w:rsidR="007A4FEA" w:rsidRPr="00666A2A" w:rsidRDefault="007A4FEA" w:rsidP="00580B7B">
            <w:pPr>
              <w:spacing w:after="120"/>
              <w:jc w:val="both"/>
              <w:rPr>
                <w:rFonts w:ascii="Arial" w:hAnsi="Arial" w:cs="Arial"/>
                <w:sz w:val="23"/>
                <w:szCs w:val="23"/>
              </w:rPr>
            </w:pPr>
            <w:r w:rsidRPr="00666A2A">
              <w:rPr>
                <w:rFonts w:ascii="Arial" w:hAnsi="Arial" w:cs="Arial"/>
                <w:sz w:val="23"/>
                <w:szCs w:val="23"/>
              </w:rPr>
              <w:t>BASA</w:t>
            </w:r>
          </w:p>
        </w:tc>
        <w:tc>
          <w:tcPr>
            <w:tcW w:w="1418" w:type="dxa"/>
          </w:tcPr>
          <w:p w14:paraId="39EE68B2" w14:textId="12F7C6EE" w:rsidR="007A4FEA"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0A333DDF" w14:textId="02A7FF2F" w:rsidR="007A4FEA" w:rsidRPr="00666A2A" w:rsidRDefault="007A4FEA" w:rsidP="00A1617C">
            <w:pPr>
              <w:pStyle w:val="ListParagraph"/>
              <w:spacing w:after="120" w:line="276" w:lineRule="auto"/>
              <w:ind w:left="37" w:hanging="37"/>
              <w:jc w:val="both"/>
              <w:rPr>
                <w:rFonts w:ascii="Arial" w:hAnsi="Arial" w:cs="Arial"/>
                <w:sz w:val="23"/>
                <w:szCs w:val="23"/>
                <w:lang w:val="en-GB"/>
              </w:rPr>
            </w:pPr>
            <w:r w:rsidRPr="00666A2A">
              <w:rPr>
                <w:rFonts w:ascii="Arial" w:hAnsi="Arial" w:cs="Arial"/>
                <w:sz w:val="23"/>
                <w:szCs w:val="23"/>
                <w:lang w:val="en-ZA"/>
              </w:rPr>
              <w:t>“Governing Body” In the Financial Markets Act - “senior management” refers to the level of management that is directly accountable to the chief executive officer or the person in charge of an entity and includes the chief executive officer if that person is not a director of the entity OR refer to members of the controlling body (which could be the Board of Directors, all depending on the nature of the particular company). A specific reference to the Board can then be stipulated when required. It is recommended that the definition of “governing body” be replaced with “senior management” as defined in the Financial Markets Act.</w:t>
            </w:r>
          </w:p>
        </w:tc>
        <w:tc>
          <w:tcPr>
            <w:tcW w:w="7229" w:type="dxa"/>
          </w:tcPr>
          <w:p w14:paraId="6AD9593E" w14:textId="2740F331" w:rsidR="007A4FEA" w:rsidRPr="00666A2A" w:rsidRDefault="00D63D04" w:rsidP="00A1617C">
            <w:pPr>
              <w:spacing w:after="120"/>
              <w:jc w:val="both"/>
              <w:rPr>
                <w:rFonts w:ascii="Arial" w:hAnsi="Arial" w:cs="Arial"/>
                <w:sz w:val="23"/>
                <w:szCs w:val="23"/>
                <w:lang w:val="en-GB"/>
              </w:rPr>
            </w:pPr>
            <w:r w:rsidRPr="00666A2A">
              <w:rPr>
                <w:rFonts w:ascii="Arial" w:hAnsi="Arial" w:cs="Arial"/>
                <w:sz w:val="23"/>
                <w:szCs w:val="23"/>
                <w:lang w:val="en-GB"/>
              </w:rPr>
              <w:t>The Authorit</w:t>
            </w:r>
            <w:r w:rsidR="00AA246B" w:rsidRPr="00666A2A">
              <w:rPr>
                <w:rFonts w:ascii="Arial" w:hAnsi="Arial" w:cs="Arial"/>
                <w:sz w:val="23"/>
                <w:szCs w:val="23"/>
                <w:lang w:val="en-GB"/>
              </w:rPr>
              <w:t>ies</w:t>
            </w:r>
            <w:r w:rsidRPr="00666A2A">
              <w:rPr>
                <w:rFonts w:ascii="Arial" w:hAnsi="Arial" w:cs="Arial"/>
                <w:sz w:val="23"/>
                <w:szCs w:val="23"/>
                <w:lang w:val="en-GB"/>
              </w:rPr>
              <w:t xml:space="preserve"> disagree with the proposal. It is an established principle that the governing body </w:t>
            </w:r>
            <w:r w:rsidRPr="00666A2A">
              <w:rPr>
                <w:rFonts w:ascii="Arial" w:hAnsi="Arial" w:cs="Arial"/>
                <w:sz w:val="23"/>
                <w:szCs w:val="23"/>
              </w:rPr>
              <w:t xml:space="preserve">is ultimately responsible for the </w:t>
            </w:r>
            <w:r w:rsidR="0093696F">
              <w:rPr>
                <w:rFonts w:ascii="Arial" w:hAnsi="Arial" w:cs="Arial"/>
                <w:sz w:val="23"/>
                <w:szCs w:val="23"/>
              </w:rPr>
              <w:t>management</w:t>
            </w:r>
            <w:r w:rsidR="00DC5A35">
              <w:rPr>
                <w:rFonts w:ascii="Arial" w:hAnsi="Arial" w:cs="Arial"/>
                <w:sz w:val="23"/>
                <w:szCs w:val="23"/>
              </w:rPr>
              <w:t xml:space="preserve"> of an entity.</w:t>
            </w:r>
          </w:p>
        </w:tc>
      </w:tr>
      <w:tr w:rsidR="008C4560" w:rsidRPr="00666A2A" w14:paraId="4736A196" w14:textId="77777777" w:rsidTr="003C781F">
        <w:tc>
          <w:tcPr>
            <w:tcW w:w="562" w:type="dxa"/>
          </w:tcPr>
          <w:p w14:paraId="3D071147" w14:textId="56FDB4B0" w:rsidR="007A4FEA" w:rsidRPr="00666A2A" w:rsidRDefault="007A4FEA" w:rsidP="00580B7B">
            <w:pPr>
              <w:pStyle w:val="ListParagraph"/>
              <w:numPr>
                <w:ilvl w:val="0"/>
                <w:numId w:val="15"/>
              </w:numPr>
              <w:tabs>
                <w:tab w:val="left" w:pos="172"/>
              </w:tabs>
              <w:spacing w:after="120" w:line="276" w:lineRule="auto"/>
              <w:ind w:left="0" w:firstLine="0"/>
              <w:jc w:val="center"/>
              <w:rPr>
                <w:rFonts w:ascii="Arial" w:hAnsi="Arial" w:cs="Arial"/>
                <w:bCs/>
                <w:color w:val="000000"/>
                <w:sz w:val="23"/>
                <w:szCs w:val="23"/>
              </w:rPr>
            </w:pPr>
          </w:p>
        </w:tc>
        <w:tc>
          <w:tcPr>
            <w:tcW w:w="1843" w:type="dxa"/>
          </w:tcPr>
          <w:p w14:paraId="532E9C8B" w14:textId="076C5FF3" w:rsidR="007A4FEA" w:rsidRPr="00666A2A" w:rsidRDefault="007A4FEA" w:rsidP="00580B7B">
            <w:pPr>
              <w:spacing w:after="120"/>
              <w:jc w:val="both"/>
              <w:rPr>
                <w:rFonts w:ascii="Arial" w:hAnsi="Arial" w:cs="Arial"/>
                <w:sz w:val="23"/>
                <w:szCs w:val="23"/>
              </w:rPr>
            </w:pPr>
            <w:r w:rsidRPr="00666A2A">
              <w:rPr>
                <w:rFonts w:ascii="Arial" w:hAnsi="Arial" w:cs="Arial"/>
                <w:sz w:val="23"/>
                <w:szCs w:val="23"/>
              </w:rPr>
              <w:t>BASA</w:t>
            </w:r>
          </w:p>
        </w:tc>
        <w:tc>
          <w:tcPr>
            <w:tcW w:w="1418" w:type="dxa"/>
          </w:tcPr>
          <w:p w14:paraId="3E3872D6" w14:textId="31E7C059" w:rsidR="007A4FEA"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169A5CA1" w14:textId="0BBF4CB6" w:rsidR="007A4FEA" w:rsidRPr="00666A2A" w:rsidRDefault="007A4FEA" w:rsidP="00A1617C">
            <w:pPr>
              <w:pStyle w:val="ListParagraph"/>
              <w:spacing w:after="120" w:line="276" w:lineRule="auto"/>
              <w:ind w:left="37" w:hanging="37"/>
              <w:jc w:val="both"/>
              <w:rPr>
                <w:rFonts w:ascii="Arial" w:hAnsi="Arial" w:cs="Arial"/>
                <w:sz w:val="23"/>
                <w:szCs w:val="23"/>
                <w:lang w:val="en-GB"/>
              </w:rPr>
            </w:pPr>
            <w:r w:rsidRPr="00666A2A">
              <w:rPr>
                <w:rFonts w:ascii="Arial" w:hAnsi="Arial" w:cs="Arial"/>
                <w:sz w:val="23"/>
                <w:szCs w:val="23"/>
                <w:lang w:val="en-GB"/>
              </w:rPr>
              <w:t>“Master Agreement” - The definition of a master agreement is very specific, for instance, it omits the “Global Master Securities Lending Agreement” master agreements as published by the International Securities Lending Association (ISLA). It is recommended that the definition be defined more broadly.</w:t>
            </w:r>
          </w:p>
        </w:tc>
        <w:tc>
          <w:tcPr>
            <w:tcW w:w="7229" w:type="dxa"/>
          </w:tcPr>
          <w:p w14:paraId="3AE03AA5" w14:textId="282558BE" w:rsidR="007A4FEA" w:rsidRPr="00666A2A" w:rsidRDefault="000D3E70" w:rsidP="00A1617C">
            <w:pPr>
              <w:spacing w:after="120"/>
              <w:jc w:val="both"/>
              <w:rPr>
                <w:rFonts w:ascii="Arial" w:hAnsi="Arial" w:cs="Arial"/>
                <w:sz w:val="23"/>
                <w:szCs w:val="23"/>
                <w:lang w:val="en-GB"/>
              </w:rPr>
            </w:pPr>
            <w:r w:rsidRPr="00666A2A">
              <w:rPr>
                <w:rFonts w:ascii="Arial" w:hAnsi="Arial" w:cs="Arial"/>
                <w:sz w:val="23"/>
                <w:szCs w:val="23"/>
                <w:lang w:val="en-GB"/>
              </w:rPr>
              <w:t>The comment is n</w:t>
            </w:r>
            <w:r w:rsidR="00F60BE3" w:rsidRPr="00666A2A">
              <w:rPr>
                <w:rFonts w:ascii="Arial" w:hAnsi="Arial" w:cs="Arial"/>
                <w:sz w:val="23"/>
                <w:szCs w:val="23"/>
                <w:lang w:val="en-GB"/>
              </w:rPr>
              <w:t>oted. The definition has been amended to reference the definition in section 35</w:t>
            </w:r>
            <w:proofErr w:type="gramStart"/>
            <w:r w:rsidR="00F60BE3" w:rsidRPr="00666A2A">
              <w:rPr>
                <w:rFonts w:ascii="Arial" w:hAnsi="Arial" w:cs="Arial"/>
                <w:sz w:val="23"/>
                <w:szCs w:val="23"/>
                <w:lang w:val="en-GB"/>
              </w:rPr>
              <w:t>B(</w:t>
            </w:r>
            <w:proofErr w:type="gramEnd"/>
            <w:r w:rsidR="00F60BE3" w:rsidRPr="00666A2A">
              <w:rPr>
                <w:rFonts w:ascii="Arial" w:hAnsi="Arial" w:cs="Arial"/>
                <w:sz w:val="23"/>
                <w:szCs w:val="23"/>
                <w:lang w:val="en-GB"/>
              </w:rPr>
              <w:t>2) of the Insolvency Act, 1936 (Act No. 24 of 1936).</w:t>
            </w:r>
          </w:p>
        </w:tc>
      </w:tr>
      <w:tr w:rsidR="008C4560" w:rsidRPr="00666A2A" w14:paraId="22D1A9A0" w14:textId="77777777" w:rsidTr="003C781F">
        <w:tc>
          <w:tcPr>
            <w:tcW w:w="562" w:type="dxa"/>
          </w:tcPr>
          <w:p w14:paraId="21435604" w14:textId="52014912" w:rsidR="007A4FEA" w:rsidRPr="00666A2A" w:rsidRDefault="007A4FEA" w:rsidP="00580B7B">
            <w:pPr>
              <w:pStyle w:val="ListParagraph"/>
              <w:numPr>
                <w:ilvl w:val="0"/>
                <w:numId w:val="15"/>
              </w:numPr>
              <w:tabs>
                <w:tab w:val="left" w:pos="172"/>
              </w:tabs>
              <w:spacing w:after="120" w:line="276" w:lineRule="auto"/>
              <w:ind w:left="0" w:firstLine="0"/>
              <w:jc w:val="center"/>
              <w:rPr>
                <w:rFonts w:ascii="Arial" w:hAnsi="Arial" w:cs="Arial"/>
                <w:bCs/>
                <w:color w:val="000000"/>
                <w:sz w:val="23"/>
                <w:szCs w:val="23"/>
              </w:rPr>
            </w:pPr>
          </w:p>
        </w:tc>
        <w:tc>
          <w:tcPr>
            <w:tcW w:w="1843" w:type="dxa"/>
          </w:tcPr>
          <w:p w14:paraId="2F47896F" w14:textId="57664824" w:rsidR="007A4FEA" w:rsidRPr="00666A2A" w:rsidRDefault="007A4FEA" w:rsidP="00580B7B">
            <w:pPr>
              <w:spacing w:after="120"/>
              <w:jc w:val="both"/>
              <w:rPr>
                <w:rFonts w:ascii="Arial" w:hAnsi="Arial" w:cs="Arial"/>
                <w:sz w:val="23"/>
                <w:szCs w:val="23"/>
                <w:lang w:val="en-GB"/>
              </w:rPr>
            </w:pPr>
            <w:r w:rsidRPr="00666A2A">
              <w:rPr>
                <w:rFonts w:ascii="Arial" w:hAnsi="Arial" w:cs="Arial"/>
                <w:sz w:val="23"/>
                <w:szCs w:val="23"/>
              </w:rPr>
              <w:t>BOCA</w:t>
            </w:r>
          </w:p>
        </w:tc>
        <w:tc>
          <w:tcPr>
            <w:tcW w:w="1418" w:type="dxa"/>
          </w:tcPr>
          <w:p w14:paraId="667020B8" w14:textId="2AA3AA89" w:rsidR="007A4FEA"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76A411ED" w14:textId="2BC8154A" w:rsidR="007A4FEA" w:rsidRPr="00666A2A" w:rsidRDefault="007A4FEA" w:rsidP="00A1617C">
            <w:pPr>
              <w:pStyle w:val="ListParagraph"/>
              <w:spacing w:after="120" w:line="276" w:lineRule="auto"/>
              <w:ind w:left="360" w:hanging="360"/>
              <w:jc w:val="both"/>
              <w:rPr>
                <w:rFonts w:ascii="Arial" w:hAnsi="Arial" w:cs="Arial"/>
                <w:sz w:val="23"/>
                <w:szCs w:val="23"/>
                <w:lang w:val="en-GB"/>
              </w:rPr>
            </w:pPr>
            <w:r w:rsidRPr="00666A2A">
              <w:rPr>
                <w:rFonts w:ascii="Arial" w:hAnsi="Arial" w:cs="Arial"/>
                <w:sz w:val="23"/>
                <w:szCs w:val="23"/>
                <w:lang w:val="en-GB"/>
              </w:rPr>
              <w:t>No comment.</w:t>
            </w:r>
          </w:p>
        </w:tc>
        <w:tc>
          <w:tcPr>
            <w:tcW w:w="7229" w:type="dxa"/>
          </w:tcPr>
          <w:p w14:paraId="0F509E32" w14:textId="35AACB28" w:rsidR="007A4FEA" w:rsidRPr="00666A2A" w:rsidRDefault="00DD0C1D" w:rsidP="00A1617C">
            <w:pPr>
              <w:spacing w:after="120"/>
              <w:jc w:val="both"/>
              <w:rPr>
                <w:rFonts w:ascii="Arial" w:hAnsi="Arial" w:cs="Arial"/>
                <w:sz w:val="23"/>
                <w:szCs w:val="23"/>
                <w:lang w:val="en-GB"/>
              </w:rPr>
            </w:pPr>
            <w:r w:rsidRPr="00666A2A">
              <w:rPr>
                <w:rFonts w:ascii="Arial" w:hAnsi="Arial" w:cs="Arial"/>
                <w:sz w:val="23"/>
                <w:szCs w:val="23"/>
                <w:lang w:val="en-GB"/>
              </w:rPr>
              <w:t>N</w:t>
            </w:r>
            <w:r w:rsidR="00F60BE3" w:rsidRPr="00666A2A">
              <w:rPr>
                <w:rFonts w:ascii="Arial" w:hAnsi="Arial" w:cs="Arial"/>
                <w:sz w:val="23"/>
                <w:szCs w:val="23"/>
                <w:lang w:val="en-GB"/>
              </w:rPr>
              <w:t>oted</w:t>
            </w:r>
            <w:r w:rsidR="000D3E70" w:rsidRPr="00666A2A">
              <w:rPr>
                <w:rFonts w:ascii="Arial" w:hAnsi="Arial" w:cs="Arial"/>
                <w:sz w:val="23"/>
                <w:szCs w:val="23"/>
                <w:lang w:val="en-GB"/>
              </w:rPr>
              <w:t>.</w:t>
            </w:r>
          </w:p>
        </w:tc>
      </w:tr>
      <w:tr w:rsidR="008C4560" w:rsidRPr="00666A2A" w14:paraId="544CE633" w14:textId="77777777" w:rsidTr="003C781F">
        <w:tc>
          <w:tcPr>
            <w:tcW w:w="562" w:type="dxa"/>
          </w:tcPr>
          <w:p w14:paraId="39283C55" w14:textId="165D0EAF" w:rsidR="007A4FEA" w:rsidRPr="00666A2A" w:rsidRDefault="007A4FEA" w:rsidP="00580B7B">
            <w:pPr>
              <w:pStyle w:val="ListParagraph"/>
              <w:numPr>
                <w:ilvl w:val="0"/>
                <w:numId w:val="15"/>
              </w:numPr>
              <w:tabs>
                <w:tab w:val="left" w:pos="172"/>
              </w:tabs>
              <w:spacing w:after="120" w:line="276" w:lineRule="auto"/>
              <w:ind w:left="0" w:firstLine="0"/>
              <w:jc w:val="center"/>
              <w:rPr>
                <w:rFonts w:ascii="Arial" w:hAnsi="Arial" w:cs="Arial"/>
                <w:bCs/>
                <w:color w:val="000000"/>
                <w:sz w:val="23"/>
                <w:szCs w:val="23"/>
              </w:rPr>
            </w:pPr>
          </w:p>
        </w:tc>
        <w:tc>
          <w:tcPr>
            <w:tcW w:w="1843" w:type="dxa"/>
          </w:tcPr>
          <w:p w14:paraId="579F5767" w14:textId="09EA754F" w:rsidR="007A4FEA" w:rsidRPr="00666A2A" w:rsidRDefault="007A4FEA" w:rsidP="00580B7B">
            <w:pPr>
              <w:spacing w:after="120"/>
              <w:jc w:val="both"/>
              <w:rPr>
                <w:rFonts w:ascii="Arial" w:hAnsi="Arial" w:cs="Arial"/>
                <w:sz w:val="23"/>
                <w:szCs w:val="23"/>
                <w:lang w:val="en-GB"/>
              </w:rPr>
            </w:pPr>
            <w:r w:rsidRPr="00666A2A">
              <w:rPr>
                <w:rFonts w:ascii="Arial" w:hAnsi="Arial" w:cs="Arial"/>
                <w:sz w:val="23"/>
                <w:szCs w:val="23"/>
              </w:rPr>
              <w:t>FSCA</w:t>
            </w:r>
          </w:p>
        </w:tc>
        <w:tc>
          <w:tcPr>
            <w:tcW w:w="1418" w:type="dxa"/>
          </w:tcPr>
          <w:p w14:paraId="16E8F20C" w14:textId="56AF14D8" w:rsidR="007A4FEA"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019A71DB" w14:textId="42A710A3" w:rsidR="007A4FEA" w:rsidRPr="00666A2A" w:rsidRDefault="007A4FEA" w:rsidP="00A1617C">
            <w:pPr>
              <w:pStyle w:val="ListParagraph"/>
              <w:spacing w:after="120" w:line="276" w:lineRule="auto"/>
              <w:ind w:left="37" w:hanging="37"/>
              <w:jc w:val="both"/>
              <w:rPr>
                <w:rFonts w:ascii="Arial" w:hAnsi="Arial" w:cs="Arial"/>
                <w:sz w:val="23"/>
                <w:szCs w:val="23"/>
                <w:lang w:val="en-GB"/>
              </w:rPr>
            </w:pPr>
            <w:r w:rsidRPr="00666A2A">
              <w:rPr>
                <w:rFonts w:ascii="Arial" w:hAnsi="Arial" w:cs="Arial"/>
                <w:sz w:val="23"/>
                <w:szCs w:val="23"/>
                <w:lang w:val="en-GB"/>
              </w:rPr>
              <w:t>“</w:t>
            </w:r>
            <w:proofErr w:type="gramStart"/>
            <w:r w:rsidRPr="00666A2A">
              <w:rPr>
                <w:rFonts w:ascii="Arial" w:hAnsi="Arial" w:cs="Arial"/>
                <w:sz w:val="23"/>
                <w:szCs w:val="23"/>
                <w:lang w:val="en-GB"/>
              </w:rPr>
              <w:t>th</w:t>
            </w:r>
            <w:r w:rsidR="00173258" w:rsidRPr="00666A2A">
              <w:rPr>
                <w:rFonts w:ascii="Arial" w:hAnsi="Arial" w:cs="Arial"/>
                <w:sz w:val="23"/>
                <w:szCs w:val="23"/>
                <w:lang w:val="en-GB"/>
              </w:rPr>
              <w:t>e</w:t>
            </w:r>
            <w:proofErr w:type="gramEnd"/>
            <w:r w:rsidRPr="00666A2A">
              <w:rPr>
                <w:rFonts w:ascii="Arial" w:hAnsi="Arial" w:cs="Arial"/>
                <w:sz w:val="23"/>
                <w:szCs w:val="23"/>
                <w:lang w:val="en-GB"/>
              </w:rPr>
              <w:t xml:space="preserve"> Act” </w:t>
            </w:r>
            <w:r w:rsidRPr="00666A2A">
              <w:rPr>
                <w:rFonts w:ascii="Arial" w:hAnsi="Arial" w:cs="Arial"/>
                <w:bCs/>
                <w:sz w:val="23"/>
                <w:szCs w:val="23"/>
                <w:lang w:val="en-ZA"/>
              </w:rPr>
              <w:t>We recommend that the words “(FSR Act)” be removed from the definition as it does not serve a purpose.</w:t>
            </w:r>
          </w:p>
        </w:tc>
        <w:tc>
          <w:tcPr>
            <w:tcW w:w="7229" w:type="dxa"/>
          </w:tcPr>
          <w:p w14:paraId="1D0E9A94" w14:textId="7618C649" w:rsidR="007A4FEA" w:rsidRPr="00666A2A" w:rsidRDefault="000D3E70" w:rsidP="00A1617C">
            <w:pPr>
              <w:spacing w:after="120"/>
              <w:jc w:val="both"/>
              <w:rPr>
                <w:rFonts w:ascii="Arial" w:hAnsi="Arial" w:cs="Arial"/>
                <w:sz w:val="23"/>
                <w:szCs w:val="23"/>
                <w:lang w:val="en-GB"/>
              </w:rPr>
            </w:pPr>
            <w:r w:rsidRPr="00666A2A">
              <w:rPr>
                <w:rFonts w:ascii="Arial" w:hAnsi="Arial" w:cs="Arial"/>
                <w:sz w:val="23"/>
                <w:szCs w:val="23"/>
                <w:lang w:val="en-GB"/>
              </w:rPr>
              <w:t>The comment is n</w:t>
            </w:r>
            <w:r w:rsidR="00F60BE3" w:rsidRPr="00666A2A">
              <w:rPr>
                <w:rFonts w:ascii="Arial" w:hAnsi="Arial" w:cs="Arial"/>
                <w:sz w:val="23"/>
                <w:szCs w:val="23"/>
                <w:lang w:val="en-GB"/>
              </w:rPr>
              <w:t>oted. The definition has been amended in line with the comment.</w:t>
            </w:r>
          </w:p>
        </w:tc>
      </w:tr>
      <w:tr w:rsidR="008C4560" w:rsidRPr="00666A2A" w14:paraId="4CE71042" w14:textId="77777777" w:rsidTr="003C781F">
        <w:tc>
          <w:tcPr>
            <w:tcW w:w="562" w:type="dxa"/>
          </w:tcPr>
          <w:p w14:paraId="50A5C92A" w14:textId="77777777" w:rsidR="00173258" w:rsidRPr="00666A2A" w:rsidRDefault="00173258" w:rsidP="00580B7B">
            <w:pPr>
              <w:pStyle w:val="ListParagraph"/>
              <w:numPr>
                <w:ilvl w:val="0"/>
                <w:numId w:val="15"/>
              </w:numPr>
              <w:tabs>
                <w:tab w:val="left" w:pos="172"/>
              </w:tabs>
              <w:spacing w:after="120" w:line="276" w:lineRule="auto"/>
              <w:ind w:left="0" w:firstLine="0"/>
              <w:jc w:val="center"/>
              <w:rPr>
                <w:rFonts w:ascii="Arial" w:hAnsi="Arial" w:cs="Arial"/>
                <w:bCs/>
                <w:color w:val="000000"/>
                <w:sz w:val="23"/>
                <w:szCs w:val="23"/>
              </w:rPr>
            </w:pPr>
          </w:p>
        </w:tc>
        <w:tc>
          <w:tcPr>
            <w:tcW w:w="1843" w:type="dxa"/>
          </w:tcPr>
          <w:p w14:paraId="03233231" w14:textId="497FFED1" w:rsidR="00173258" w:rsidRPr="00666A2A" w:rsidRDefault="00173258" w:rsidP="00580B7B">
            <w:pPr>
              <w:spacing w:after="120"/>
              <w:jc w:val="both"/>
              <w:rPr>
                <w:rFonts w:ascii="Arial" w:hAnsi="Arial" w:cs="Arial"/>
                <w:sz w:val="23"/>
                <w:szCs w:val="23"/>
              </w:rPr>
            </w:pPr>
            <w:r w:rsidRPr="00666A2A">
              <w:rPr>
                <w:rFonts w:ascii="Arial" w:hAnsi="Arial" w:cs="Arial"/>
                <w:sz w:val="23"/>
                <w:szCs w:val="23"/>
              </w:rPr>
              <w:t>FSCA</w:t>
            </w:r>
          </w:p>
        </w:tc>
        <w:tc>
          <w:tcPr>
            <w:tcW w:w="1418" w:type="dxa"/>
          </w:tcPr>
          <w:p w14:paraId="784944C9" w14:textId="5C797D5C" w:rsidR="00173258"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2DE0BBB3" w14:textId="48E419EF" w:rsidR="00173258" w:rsidRPr="00666A2A" w:rsidRDefault="00173258" w:rsidP="00A1617C">
            <w:pPr>
              <w:pStyle w:val="ListParagraph"/>
              <w:spacing w:after="120" w:line="276" w:lineRule="auto"/>
              <w:ind w:left="37" w:hanging="37"/>
              <w:jc w:val="both"/>
              <w:rPr>
                <w:rFonts w:ascii="Arial" w:hAnsi="Arial" w:cs="Arial"/>
                <w:sz w:val="23"/>
                <w:szCs w:val="23"/>
                <w:lang w:val="en-GB"/>
              </w:rPr>
            </w:pPr>
            <w:r w:rsidRPr="00666A2A">
              <w:rPr>
                <w:rFonts w:ascii="Arial" w:hAnsi="Arial" w:cs="Arial"/>
                <w:bCs/>
                <w:sz w:val="23"/>
                <w:szCs w:val="23"/>
                <w:lang w:val="en-ZA"/>
              </w:rPr>
              <w:t>"Master agreement" is defined in section 35B of the Insolvency Act,1937. Is there a particular reason why the legal definition in the Insolvency Act has not been adopted as is in this Standard, even if it is by reference to the provision of the Insolvency Act? Or is the intention to exclude certain specific contracts? If so, has such a deviation considered the probable consequences of inconsistency when applied by Tribunals or Courts?</w:t>
            </w:r>
          </w:p>
        </w:tc>
        <w:tc>
          <w:tcPr>
            <w:tcW w:w="7229" w:type="dxa"/>
          </w:tcPr>
          <w:p w14:paraId="218D82FE" w14:textId="149A3550" w:rsidR="00173258" w:rsidRPr="00666A2A" w:rsidRDefault="000D3E70" w:rsidP="00A1617C">
            <w:pPr>
              <w:spacing w:after="120"/>
              <w:jc w:val="both"/>
              <w:rPr>
                <w:rFonts w:ascii="Arial" w:hAnsi="Arial" w:cs="Arial"/>
                <w:sz w:val="23"/>
                <w:szCs w:val="23"/>
                <w:lang w:val="en-GB"/>
              </w:rPr>
            </w:pPr>
            <w:r w:rsidRPr="00666A2A">
              <w:rPr>
                <w:rFonts w:ascii="Arial" w:hAnsi="Arial" w:cs="Arial"/>
                <w:sz w:val="23"/>
                <w:szCs w:val="23"/>
                <w:lang w:val="en-GB"/>
              </w:rPr>
              <w:t>The comment is noted</w:t>
            </w:r>
            <w:r w:rsidR="00F60BE3" w:rsidRPr="00666A2A">
              <w:rPr>
                <w:rFonts w:ascii="Arial" w:hAnsi="Arial" w:cs="Arial"/>
                <w:sz w:val="23"/>
                <w:szCs w:val="23"/>
                <w:lang w:val="en-GB"/>
              </w:rPr>
              <w:t>. The definition has been amended to reference the definition in section 35</w:t>
            </w:r>
            <w:proofErr w:type="gramStart"/>
            <w:r w:rsidR="00F60BE3" w:rsidRPr="00666A2A">
              <w:rPr>
                <w:rFonts w:ascii="Arial" w:hAnsi="Arial" w:cs="Arial"/>
                <w:sz w:val="23"/>
                <w:szCs w:val="23"/>
                <w:lang w:val="en-GB"/>
              </w:rPr>
              <w:t>B(</w:t>
            </w:r>
            <w:proofErr w:type="gramEnd"/>
            <w:r w:rsidR="00F60BE3" w:rsidRPr="00666A2A">
              <w:rPr>
                <w:rFonts w:ascii="Arial" w:hAnsi="Arial" w:cs="Arial"/>
                <w:sz w:val="23"/>
                <w:szCs w:val="23"/>
                <w:lang w:val="en-GB"/>
              </w:rPr>
              <w:t>2) of the Insolvency Act, 1936 (Act No. 24 of 1936).</w:t>
            </w:r>
          </w:p>
        </w:tc>
      </w:tr>
      <w:tr w:rsidR="008C4560" w:rsidRPr="00666A2A" w14:paraId="4CB0AFB5" w14:textId="77777777" w:rsidTr="003C781F">
        <w:tc>
          <w:tcPr>
            <w:tcW w:w="562" w:type="dxa"/>
          </w:tcPr>
          <w:p w14:paraId="72533625" w14:textId="77777777" w:rsidR="00173258" w:rsidRPr="00666A2A" w:rsidRDefault="00173258" w:rsidP="00580B7B">
            <w:pPr>
              <w:pStyle w:val="ListParagraph"/>
              <w:numPr>
                <w:ilvl w:val="0"/>
                <w:numId w:val="15"/>
              </w:numPr>
              <w:tabs>
                <w:tab w:val="left" w:pos="172"/>
              </w:tabs>
              <w:spacing w:after="120" w:line="276" w:lineRule="auto"/>
              <w:ind w:left="0" w:firstLine="0"/>
              <w:jc w:val="center"/>
              <w:rPr>
                <w:rFonts w:ascii="Arial" w:hAnsi="Arial" w:cs="Arial"/>
                <w:bCs/>
                <w:color w:val="000000"/>
                <w:sz w:val="23"/>
                <w:szCs w:val="23"/>
              </w:rPr>
            </w:pPr>
          </w:p>
        </w:tc>
        <w:tc>
          <w:tcPr>
            <w:tcW w:w="1843" w:type="dxa"/>
          </w:tcPr>
          <w:p w14:paraId="7D511629" w14:textId="1BF311AA" w:rsidR="00173258" w:rsidRPr="00666A2A" w:rsidRDefault="00173258" w:rsidP="00580B7B">
            <w:pPr>
              <w:spacing w:after="120"/>
              <w:jc w:val="both"/>
              <w:rPr>
                <w:rFonts w:ascii="Arial" w:hAnsi="Arial" w:cs="Arial"/>
                <w:sz w:val="23"/>
                <w:szCs w:val="23"/>
              </w:rPr>
            </w:pPr>
            <w:r w:rsidRPr="00666A2A">
              <w:rPr>
                <w:rFonts w:ascii="Arial" w:hAnsi="Arial" w:cs="Arial"/>
                <w:sz w:val="23"/>
                <w:szCs w:val="23"/>
              </w:rPr>
              <w:t>FSCA</w:t>
            </w:r>
          </w:p>
        </w:tc>
        <w:tc>
          <w:tcPr>
            <w:tcW w:w="1418" w:type="dxa"/>
          </w:tcPr>
          <w:p w14:paraId="2ACC1251" w14:textId="254BA47B" w:rsidR="00173258"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71E764CC" w14:textId="35D0F8EE" w:rsidR="00173258" w:rsidRPr="00666A2A" w:rsidRDefault="00173258" w:rsidP="00A1617C">
            <w:pPr>
              <w:pStyle w:val="ListParagraph"/>
              <w:spacing w:after="120" w:line="276" w:lineRule="auto"/>
              <w:ind w:left="37" w:hanging="37"/>
              <w:jc w:val="both"/>
              <w:rPr>
                <w:rFonts w:ascii="Arial" w:hAnsi="Arial" w:cs="Arial"/>
                <w:bCs/>
                <w:sz w:val="23"/>
                <w:szCs w:val="23"/>
                <w:lang w:val="en-ZA"/>
              </w:rPr>
            </w:pPr>
            <w:r w:rsidRPr="00666A2A">
              <w:rPr>
                <w:rFonts w:ascii="Arial" w:hAnsi="Arial" w:cs="Arial"/>
                <w:bCs/>
                <w:sz w:val="23"/>
                <w:szCs w:val="23"/>
              </w:rPr>
              <w:t>“</w:t>
            </w:r>
            <w:proofErr w:type="gramStart"/>
            <w:r w:rsidRPr="00666A2A">
              <w:rPr>
                <w:rFonts w:ascii="Arial" w:hAnsi="Arial" w:cs="Arial"/>
                <w:bCs/>
                <w:sz w:val="23"/>
                <w:szCs w:val="23"/>
              </w:rPr>
              <w:t>orderly</w:t>
            </w:r>
            <w:proofErr w:type="gramEnd"/>
            <w:r w:rsidRPr="00666A2A">
              <w:rPr>
                <w:rFonts w:ascii="Arial" w:hAnsi="Arial" w:cs="Arial"/>
                <w:bCs/>
                <w:sz w:val="23"/>
                <w:szCs w:val="23"/>
              </w:rPr>
              <w:t xml:space="preserve"> resolution of a designated institution” </w:t>
            </w:r>
            <w:r w:rsidRPr="00666A2A">
              <w:rPr>
                <w:rFonts w:ascii="Arial" w:hAnsi="Arial" w:cs="Arial"/>
                <w:bCs/>
                <w:sz w:val="23"/>
                <w:szCs w:val="23"/>
                <w:lang w:val="en-ZA"/>
              </w:rPr>
              <w:t>This term is already defined in section 1 of the FSR Act and the preamble in the Standard states that i</w:t>
            </w:r>
            <w:r w:rsidRPr="00666A2A">
              <w:rPr>
                <w:rFonts w:ascii="Arial" w:hAnsi="Arial" w:cs="Arial"/>
                <w:sz w:val="23"/>
                <w:szCs w:val="23"/>
                <w:lang w:val="en-ZA"/>
              </w:rPr>
              <w:t xml:space="preserve">n the Standard, any word or expression to which a meaning has been assigned bears the meaning so assigned to it by the Act. </w:t>
            </w:r>
            <w:r w:rsidRPr="00666A2A">
              <w:rPr>
                <w:rFonts w:ascii="Arial" w:hAnsi="Arial" w:cs="Arial"/>
                <w:bCs/>
                <w:sz w:val="23"/>
                <w:szCs w:val="23"/>
                <w:lang w:val="en-ZA"/>
              </w:rPr>
              <w:lastRenderedPageBreak/>
              <w:t>Defining the term in the Standard again therefore results in unnecessary duplication and is superfluous (practically and in law).</w:t>
            </w:r>
            <w:r w:rsidR="00BC4081" w:rsidRPr="00666A2A">
              <w:rPr>
                <w:rFonts w:ascii="Arial" w:hAnsi="Arial" w:cs="Arial"/>
                <w:bCs/>
                <w:sz w:val="23"/>
                <w:szCs w:val="23"/>
                <w:lang w:val="en-ZA"/>
              </w:rPr>
              <w:t xml:space="preserve"> </w:t>
            </w:r>
            <w:r w:rsidRPr="00666A2A">
              <w:rPr>
                <w:rFonts w:ascii="Arial" w:hAnsi="Arial" w:cs="Arial"/>
                <w:bCs/>
                <w:sz w:val="23"/>
                <w:szCs w:val="23"/>
                <w:lang w:val="en-ZA"/>
              </w:rPr>
              <w:t xml:space="preserve">Further, if the PA maintains that it wants to include it as a defined term, it is unclear why the definition repeats the content of the definition which is already included in the FSR Act (therefore not only defining the term is superfluous but defining the term and repeating the content is further superfluous). If the definition is to be retained, rather cross-reference the definition in the FSR Act (i.e., “has the meaning assigned to term in section 1 of the Act). There is also a slight misalignment between the content of the definition in the Standard and the definition in section 1 of the FSR Act, </w:t>
            </w:r>
            <w:proofErr w:type="gramStart"/>
            <w:r w:rsidRPr="00666A2A">
              <w:rPr>
                <w:rFonts w:ascii="Arial" w:hAnsi="Arial" w:cs="Arial"/>
                <w:bCs/>
                <w:sz w:val="23"/>
                <w:szCs w:val="23"/>
                <w:lang w:val="en-ZA"/>
              </w:rPr>
              <w:t>i.e.</w:t>
            </w:r>
            <w:proofErr w:type="gramEnd"/>
            <w:r w:rsidRPr="00666A2A">
              <w:rPr>
                <w:rFonts w:ascii="Arial" w:hAnsi="Arial" w:cs="Arial"/>
                <w:bCs/>
                <w:sz w:val="23"/>
                <w:szCs w:val="23"/>
                <w:lang w:val="en-ZA"/>
              </w:rPr>
              <w:t xml:space="preserve"> paragraph (a) of the definition in the Standard refers to “maintains financial stability” whilst paragraph (a) of the definition in the Act refers to “assists in maintaining financial stability”. There shouldn’t be any misalignment between the two definitions.</w:t>
            </w:r>
          </w:p>
        </w:tc>
        <w:tc>
          <w:tcPr>
            <w:tcW w:w="7229" w:type="dxa"/>
          </w:tcPr>
          <w:p w14:paraId="5512C8DD" w14:textId="12E79B25" w:rsidR="00173258" w:rsidRPr="00666A2A" w:rsidRDefault="00D63D04" w:rsidP="00A1617C">
            <w:pPr>
              <w:spacing w:after="120"/>
              <w:jc w:val="both"/>
              <w:rPr>
                <w:rFonts w:ascii="Arial" w:hAnsi="Arial" w:cs="Arial"/>
                <w:sz w:val="23"/>
                <w:szCs w:val="23"/>
                <w:lang w:val="en-GB"/>
              </w:rPr>
            </w:pPr>
            <w:r w:rsidRPr="00666A2A">
              <w:rPr>
                <w:rFonts w:ascii="Arial" w:hAnsi="Arial" w:cs="Arial"/>
                <w:sz w:val="23"/>
                <w:szCs w:val="23"/>
                <w:lang w:val="en-GB"/>
              </w:rPr>
              <w:lastRenderedPageBreak/>
              <w:t>The comment is noted. Definitions of terms already defined in the Act have been deleted.</w:t>
            </w:r>
          </w:p>
        </w:tc>
      </w:tr>
      <w:tr w:rsidR="008C4560" w:rsidRPr="00666A2A" w14:paraId="2C3D2A20" w14:textId="77777777" w:rsidTr="003C781F">
        <w:tc>
          <w:tcPr>
            <w:tcW w:w="562" w:type="dxa"/>
          </w:tcPr>
          <w:p w14:paraId="5CABAB5E" w14:textId="77777777" w:rsidR="00173258" w:rsidRPr="00666A2A" w:rsidRDefault="00173258" w:rsidP="00580B7B">
            <w:pPr>
              <w:pStyle w:val="ListParagraph"/>
              <w:numPr>
                <w:ilvl w:val="0"/>
                <w:numId w:val="15"/>
              </w:numPr>
              <w:tabs>
                <w:tab w:val="left" w:pos="172"/>
              </w:tabs>
              <w:spacing w:after="120" w:line="276" w:lineRule="auto"/>
              <w:ind w:left="0" w:firstLine="0"/>
              <w:jc w:val="center"/>
              <w:rPr>
                <w:rFonts w:ascii="Arial" w:hAnsi="Arial" w:cs="Arial"/>
                <w:bCs/>
                <w:color w:val="000000"/>
                <w:sz w:val="23"/>
                <w:szCs w:val="23"/>
              </w:rPr>
            </w:pPr>
          </w:p>
        </w:tc>
        <w:tc>
          <w:tcPr>
            <w:tcW w:w="1843" w:type="dxa"/>
          </w:tcPr>
          <w:p w14:paraId="40DA19ED" w14:textId="2C2D6692" w:rsidR="00173258" w:rsidRPr="00666A2A" w:rsidRDefault="00173258" w:rsidP="00580B7B">
            <w:pPr>
              <w:spacing w:after="120"/>
              <w:jc w:val="both"/>
              <w:rPr>
                <w:rFonts w:ascii="Arial" w:hAnsi="Arial" w:cs="Arial"/>
                <w:sz w:val="23"/>
                <w:szCs w:val="23"/>
              </w:rPr>
            </w:pPr>
            <w:r w:rsidRPr="00666A2A">
              <w:rPr>
                <w:rFonts w:ascii="Arial" w:hAnsi="Arial" w:cs="Arial"/>
                <w:sz w:val="23"/>
                <w:szCs w:val="23"/>
              </w:rPr>
              <w:t>FSCA</w:t>
            </w:r>
          </w:p>
        </w:tc>
        <w:tc>
          <w:tcPr>
            <w:tcW w:w="1418" w:type="dxa"/>
          </w:tcPr>
          <w:p w14:paraId="0A217EB4" w14:textId="1C27ECED" w:rsidR="00173258"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42067E8E" w14:textId="3600CAEF" w:rsidR="00173258" w:rsidRPr="00666A2A" w:rsidRDefault="00173258" w:rsidP="00A1617C">
            <w:pPr>
              <w:pStyle w:val="ListParagraph"/>
              <w:spacing w:after="120" w:line="276" w:lineRule="auto"/>
              <w:ind w:left="37" w:hanging="37"/>
              <w:jc w:val="both"/>
              <w:rPr>
                <w:rFonts w:ascii="Arial" w:hAnsi="Arial" w:cs="Arial"/>
                <w:sz w:val="23"/>
                <w:szCs w:val="23"/>
                <w:lang w:val="en-GB"/>
              </w:rPr>
            </w:pPr>
            <w:r w:rsidRPr="00666A2A">
              <w:rPr>
                <w:rFonts w:ascii="Arial" w:hAnsi="Arial" w:cs="Arial"/>
                <w:bCs/>
                <w:sz w:val="23"/>
                <w:szCs w:val="23"/>
                <w:lang w:val="en-ZA"/>
              </w:rPr>
              <w:t>“Payment system” It is unclear why a definition for “payment system”, that is separate and different from the definition of “payment system” in the National Payment System Act (NPS Act), is necessary. Shouldn’t there be alignment considering that the NPS Act is the primary law governing payment systems? We recommend that the NPS Act definition is rather cross-referenced unless there is specific reason why that definition is not appropriate in the context of this Standard.</w:t>
            </w:r>
          </w:p>
        </w:tc>
        <w:tc>
          <w:tcPr>
            <w:tcW w:w="7229" w:type="dxa"/>
          </w:tcPr>
          <w:p w14:paraId="0E31EC26" w14:textId="06EC2821" w:rsidR="00173258" w:rsidRPr="00666A2A" w:rsidRDefault="00D63D04" w:rsidP="00A1617C">
            <w:pPr>
              <w:spacing w:after="120"/>
              <w:jc w:val="both"/>
              <w:rPr>
                <w:rFonts w:ascii="Arial" w:hAnsi="Arial" w:cs="Arial"/>
                <w:sz w:val="23"/>
                <w:szCs w:val="23"/>
                <w:lang w:val="en-GB"/>
              </w:rPr>
            </w:pPr>
            <w:r w:rsidRPr="00666A2A">
              <w:rPr>
                <w:rFonts w:ascii="Arial" w:hAnsi="Arial" w:cs="Arial"/>
                <w:sz w:val="23"/>
                <w:szCs w:val="23"/>
                <w:lang w:val="en-GB"/>
              </w:rPr>
              <w:t>The comment is noted. The definition has been amended in line with the comment.</w:t>
            </w:r>
          </w:p>
        </w:tc>
      </w:tr>
      <w:tr w:rsidR="008C4560" w:rsidRPr="00666A2A" w14:paraId="1CD459F2" w14:textId="77777777" w:rsidTr="003C781F">
        <w:tc>
          <w:tcPr>
            <w:tcW w:w="562" w:type="dxa"/>
          </w:tcPr>
          <w:p w14:paraId="071D15C7" w14:textId="77777777" w:rsidR="00173258" w:rsidRPr="00666A2A" w:rsidRDefault="00173258" w:rsidP="00580B7B">
            <w:pPr>
              <w:pStyle w:val="ListParagraph"/>
              <w:numPr>
                <w:ilvl w:val="0"/>
                <w:numId w:val="15"/>
              </w:numPr>
              <w:tabs>
                <w:tab w:val="left" w:pos="172"/>
              </w:tabs>
              <w:spacing w:after="120" w:line="276" w:lineRule="auto"/>
              <w:ind w:left="0" w:firstLine="0"/>
              <w:jc w:val="center"/>
              <w:rPr>
                <w:rFonts w:ascii="Arial" w:hAnsi="Arial" w:cs="Arial"/>
                <w:bCs/>
                <w:color w:val="000000"/>
                <w:sz w:val="23"/>
                <w:szCs w:val="23"/>
              </w:rPr>
            </w:pPr>
          </w:p>
        </w:tc>
        <w:tc>
          <w:tcPr>
            <w:tcW w:w="1843" w:type="dxa"/>
          </w:tcPr>
          <w:p w14:paraId="01D92221" w14:textId="21EFD080" w:rsidR="00173258" w:rsidRPr="00666A2A" w:rsidRDefault="00173258" w:rsidP="00580B7B">
            <w:pPr>
              <w:spacing w:after="120"/>
              <w:jc w:val="both"/>
              <w:rPr>
                <w:rFonts w:ascii="Arial" w:hAnsi="Arial" w:cs="Arial"/>
                <w:sz w:val="23"/>
                <w:szCs w:val="23"/>
              </w:rPr>
            </w:pPr>
            <w:r w:rsidRPr="00666A2A">
              <w:rPr>
                <w:rFonts w:ascii="Arial" w:hAnsi="Arial" w:cs="Arial"/>
                <w:sz w:val="23"/>
                <w:szCs w:val="23"/>
              </w:rPr>
              <w:t>FSCA</w:t>
            </w:r>
          </w:p>
        </w:tc>
        <w:tc>
          <w:tcPr>
            <w:tcW w:w="1418" w:type="dxa"/>
          </w:tcPr>
          <w:p w14:paraId="01FEED43" w14:textId="03C74579" w:rsidR="00173258"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68B0B3FA" w14:textId="5AA1D85A" w:rsidR="00173258" w:rsidRPr="00666A2A" w:rsidRDefault="00173258" w:rsidP="00A1617C">
            <w:pPr>
              <w:pStyle w:val="ListParagraph"/>
              <w:spacing w:after="120" w:line="276" w:lineRule="auto"/>
              <w:ind w:left="0"/>
              <w:jc w:val="both"/>
              <w:rPr>
                <w:rFonts w:ascii="Arial" w:hAnsi="Arial" w:cs="Arial"/>
                <w:bCs/>
                <w:sz w:val="23"/>
                <w:szCs w:val="23"/>
                <w:lang w:val="en-ZA"/>
              </w:rPr>
            </w:pPr>
            <w:r w:rsidRPr="00666A2A">
              <w:rPr>
                <w:rFonts w:ascii="Arial" w:hAnsi="Arial" w:cs="Arial"/>
                <w:bCs/>
                <w:sz w:val="23"/>
                <w:szCs w:val="23"/>
                <w:lang w:val="en-ZA"/>
              </w:rPr>
              <w:t xml:space="preserve">“Pre-existing contract” For the sake of clarity, it is recommended that this definition be revised to cater expressly for </w:t>
            </w:r>
            <w:r w:rsidRPr="00666A2A">
              <w:rPr>
                <w:rFonts w:ascii="Arial" w:hAnsi="Arial" w:cs="Arial"/>
                <w:bCs/>
                <w:i/>
                <w:iCs/>
                <w:sz w:val="23"/>
                <w:szCs w:val="23"/>
                <w:lang w:val="en-ZA"/>
              </w:rPr>
              <w:t xml:space="preserve">prior to the coming into force…of [either the Standard or the Financial Sector Regulations Act as amended in Chapter 12A], </w:t>
            </w:r>
            <w:r w:rsidRPr="00666A2A">
              <w:rPr>
                <w:rFonts w:ascii="Arial" w:hAnsi="Arial" w:cs="Arial"/>
                <w:bCs/>
                <w:sz w:val="23"/>
                <w:szCs w:val="23"/>
                <w:lang w:val="en-ZA"/>
              </w:rPr>
              <w:t>as the following wording in the definition is a bit vague/unclear (as it does not give an indication of the exact requirements this is referring to nor when those requirements came into effect):</w:t>
            </w:r>
          </w:p>
          <w:p w14:paraId="296CF1D8" w14:textId="1B7850BC" w:rsidR="00173258" w:rsidRPr="00666A2A" w:rsidRDefault="00173258" w:rsidP="00A1617C">
            <w:pPr>
              <w:pStyle w:val="ListParagraph"/>
              <w:spacing w:after="120" w:line="276" w:lineRule="auto"/>
              <w:ind w:left="360" w:hanging="39"/>
              <w:jc w:val="both"/>
              <w:rPr>
                <w:rFonts w:ascii="Arial" w:hAnsi="Arial" w:cs="Arial"/>
                <w:bCs/>
                <w:i/>
                <w:iCs/>
                <w:sz w:val="23"/>
                <w:szCs w:val="23"/>
                <w:lang w:val="en-ZA"/>
              </w:rPr>
            </w:pPr>
            <w:r w:rsidRPr="00666A2A">
              <w:rPr>
                <w:rFonts w:ascii="Arial" w:hAnsi="Arial" w:cs="Arial"/>
                <w:sz w:val="23"/>
                <w:szCs w:val="23"/>
                <w:lang w:val="en-ZA"/>
              </w:rPr>
              <w:t>“</w:t>
            </w:r>
            <w:proofErr w:type="gramStart"/>
            <w:r w:rsidRPr="00666A2A">
              <w:rPr>
                <w:rFonts w:ascii="Arial" w:hAnsi="Arial" w:cs="Arial"/>
                <w:sz w:val="23"/>
                <w:szCs w:val="23"/>
                <w:lang w:val="en-ZA"/>
              </w:rPr>
              <w:t>coming</w:t>
            </w:r>
            <w:proofErr w:type="gramEnd"/>
            <w:r w:rsidRPr="00666A2A">
              <w:rPr>
                <w:rFonts w:ascii="Arial" w:hAnsi="Arial" w:cs="Arial"/>
                <w:sz w:val="23"/>
                <w:szCs w:val="23"/>
                <w:lang w:val="en-ZA"/>
              </w:rPr>
              <w:t xml:space="preserve"> into force of the provisions relating to stays on early termination rights and moratoria on contracts of designated institutions in resolution;”</w:t>
            </w:r>
          </w:p>
          <w:p w14:paraId="2BE0C955" w14:textId="5386A58A" w:rsidR="00173258" w:rsidRPr="00666A2A" w:rsidRDefault="00173258" w:rsidP="00A1617C">
            <w:pPr>
              <w:pStyle w:val="ListParagraph"/>
              <w:spacing w:after="120" w:line="276" w:lineRule="auto"/>
              <w:ind w:left="0"/>
              <w:jc w:val="both"/>
              <w:rPr>
                <w:rFonts w:ascii="Arial" w:hAnsi="Arial" w:cs="Arial"/>
                <w:sz w:val="23"/>
                <w:szCs w:val="23"/>
                <w:lang w:val="en-GB"/>
              </w:rPr>
            </w:pPr>
            <w:r w:rsidRPr="00666A2A">
              <w:rPr>
                <w:rFonts w:ascii="Arial" w:hAnsi="Arial" w:cs="Arial"/>
                <w:bCs/>
                <w:sz w:val="23"/>
                <w:szCs w:val="23"/>
                <w:lang w:val="en-ZA"/>
              </w:rPr>
              <w:t>In addition, as a pre-existing contract is defined as a covered contract, does this mean all requirements in the Standard will immediately apply to all pre-existing contacts? If so, is this reasonable and/or should there be some transitional arrangements in this respect?</w:t>
            </w:r>
          </w:p>
        </w:tc>
        <w:tc>
          <w:tcPr>
            <w:tcW w:w="7229" w:type="dxa"/>
          </w:tcPr>
          <w:p w14:paraId="69988FDF" w14:textId="37991910" w:rsidR="00173258" w:rsidRPr="00666A2A" w:rsidRDefault="00D63D04" w:rsidP="00A1617C">
            <w:pPr>
              <w:spacing w:after="120"/>
              <w:jc w:val="both"/>
              <w:rPr>
                <w:rFonts w:ascii="Arial" w:hAnsi="Arial" w:cs="Arial"/>
                <w:sz w:val="23"/>
                <w:szCs w:val="23"/>
                <w:lang w:val="en-GB"/>
              </w:rPr>
            </w:pPr>
            <w:r w:rsidRPr="00666A2A">
              <w:rPr>
                <w:rFonts w:ascii="Arial" w:hAnsi="Arial" w:cs="Arial"/>
                <w:sz w:val="23"/>
                <w:szCs w:val="23"/>
                <w:lang w:val="en-GB"/>
              </w:rPr>
              <w:t>The comment is n</w:t>
            </w:r>
            <w:r w:rsidR="00F60BE3" w:rsidRPr="00666A2A">
              <w:rPr>
                <w:rFonts w:ascii="Arial" w:hAnsi="Arial" w:cs="Arial"/>
                <w:sz w:val="23"/>
                <w:szCs w:val="23"/>
                <w:lang w:val="en-GB"/>
              </w:rPr>
              <w:t>oted. Upon mature reflection and analysis</w:t>
            </w:r>
            <w:r w:rsidR="00D93B47" w:rsidRPr="00666A2A">
              <w:rPr>
                <w:rFonts w:ascii="Arial" w:hAnsi="Arial" w:cs="Arial"/>
                <w:sz w:val="23"/>
                <w:szCs w:val="23"/>
                <w:lang w:val="en-GB"/>
              </w:rPr>
              <w:t xml:space="preserve"> and</w:t>
            </w:r>
            <w:r w:rsidR="00F60BE3" w:rsidRPr="00666A2A">
              <w:rPr>
                <w:rFonts w:ascii="Arial" w:hAnsi="Arial" w:cs="Arial"/>
                <w:sz w:val="23"/>
                <w:szCs w:val="23"/>
                <w:lang w:val="en-GB"/>
              </w:rPr>
              <w:t xml:space="preserve"> </w:t>
            </w:r>
            <w:r w:rsidR="00D93B47" w:rsidRPr="00666A2A">
              <w:rPr>
                <w:rFonts w:ascii="Arial" w:hAnsi="Arial" w:cs="Arial"/>
                <w:sz w:val="23"/>
                <w:szCs w:val="23"/>
                <w:lang w:val="en-GB"/>
              </w:rPr>
              <w:t>to</w:t>
            </w:r>
            <w:r w:rsidR="00F56670" w:rsidRPr="00666A2A">
              <w:rPr>
                <w:rFonts w:ascii="Arial" w:hAnsi="Arial" w:cs="Arial"/>
                <w:sz w:val="23"/>
                <w:szCs w:val="23"/>
                <w:lang w:val="en-GB"/>
              </w:rPr>
              <w:t xml:space="preserve"> effectively remedy the confusion arising from the use of this term/concept, a decision has been taken to delete </w:t>
            </w:r>
            <w:r w:rsidR="00F60BE3" w:rsidRPr="00666A2A">
              <w:rPr>
                <w:rFonts w:ascii="Arial" w:hAnsi="Arial" w:cs="Arial"/>
                <w:sz w:val="23"/>
                <w:szCs w:val="23"/>
                <w:lang w:val="en-GB"/>
              </w:rPr>
              <w:t xml:space="preserve">the definition </w:t>
            </w:r>
            <w:r w:rsidR="00F56670" w:rsidRPr="00666A2A">
              <w:rPr>
                <w:rFonts w:ascii="Arial" w:hAnsi="Arial" w:cs="Arial"/>
                <w:sz w:val="23"/>
                <w:szCs w:val="23"/>
                <w:lang w:val="en-GB"/>
              </w:rPr>
              <w:t xml:space="preserve">and all references to “pre-existing contracts” </w:t>
            </w:r>
            <w:r w:rsidR="00F60BE3" w:rsidRPr="00666A2A">
              <w:rPr>
                <w:rFonts w:ascii="Arial" w:hAnsi="Arial" w:cs="Arial"/>
                <w:sz w:val="23"/>
                <w:szCs w:val="23"/>
                <w:lang w:val="en-GB"/>
              </w:rPr>
              <w:t xml:space="preserve">from the </w:t>
            </w:r>
            <w:r w:rsidR="00D93B47" w:rsidRPr="00666A2A">
              <w:rPr>
                <w:rFonts w:ascii="Arial" w:hAnsi="Arial" w:cs="Arial"/>
                <w:sz w:val="23"/>
                <w:szCs w:val="23"/>
                <w:lang w:val="en-GB"/>
              </w:rPr>
              <w:t>proposed</w:t>
            </w:r>
            <w:r w:rsidR="00F56670" w:rsidRPr="00666A2A">
              <w:rPr>
                <w:rFonts w:ascii="Arial" w:hAnsi="Arial" w:cs="Arial"/>
                <w:sz w:val="23"/>
                <w:szCs w:val="23"/>
                <w:lang w:val="en-GB"/>
              </w:rPr>
              <w:t xml:space="preserve"> </w:t>
            </w:r>
            <w:r w:rsidR="00F60BE3" w:rsidRPr="00666A2A">
              <w:rPr>
                <w:rFonts w:ascii="Arial" w:hAnsi="Arial" w:cs="Arial"/>
                <w:sz w:val="23"/>
                <w:szCs w:val="23"/>
                <w:lang w:val="en-GB"/>
              </w:rPr>
              <w:t>Standard. The information that would have been obtained in relation to covered contracts that existed prior to th</w:t>
            </w:r>
            <w:r w:rsidR="00F56670" w:rsidRPr="00666A2A">
              <w:rPr>
                <w:rFonts w:ascii="Arial" w:hAnsi="Arial" w:cs="Arial"/>
                <w:sz w:val="23"/>
                <w:szCs w:val="23"/>
                <w:lang w:val="en-GB"/>
              </w:rPr>
              <w:t xml:space="preserve">e coming into force of the </w:t>
            </w:r>
            <w:r w:rsidR="00D93B47" w:rsidRPr="00666A2A">
              <w:rPr>
                <w:rFonts w:ascii="Arial" w:hAnsi="Arial" w:cs="Arial"/>
                <w:sz w:val="23"/>
                <w:szCs w:val="23"/>
                <w:lang w:val="en-GB"/>
              </w:rPr>
              <w:t>S</w:t>
            </w:r>
            <w:r w:rsidR="00F56670" w:rsidRPr="00666A2A">
              <w:rPr>
                <w:rFonts w:ascii="Arial" w:hAnsi="Arial" w:cs="Arial"/>
                <w:sz w:val="23"/>
                <w:szCs w:val="23"/>
                <w:lang w:val="en-GB"/>
              </w:rPr>
              <w:t xml:space="preserve">tandard can be obtained as part of the requirements under paragraph 8.4 of the revised </w:t>
            </w:r>
            <w:r w:rsidR="00D93B47" w:rsidRPr="00666A2A">
              <w:rPr>
                <w:rFonts w:ascii="Arial" w:hAnsi="Arial" w:cs="Arial"/>
                <w:sz w:val="23"/>
                <w:szCs w:val="23"/>
                <w:lang w:val="en-GB"/>
              </w:rPr>
              <w:t>proposed</w:t>
            </w:r>
            <w:r w:rsidR="00F56670" w:rsidRPr="00666A2A">
              <w:rPr>
                <w:rFonts w:ascii="Arial" w:hAnsi="Arial" w:cs="Arial"/>
                <w:sz w:val="23"/>
                <w:szCs w:val="23"/>
                <w:lang w:val="en-GB"/>
              </w:rPr>
              <w:t xml:space="preserve"> Standard.</w:t>
            </w:r>
          </w:p>
        </w:tc>
      </w:tr>
      <w:tr w:rsidR="008C4560" w:rsidRPr="00666A2A" w14:paraId="2CFC7842" w14:textId="77777777" w:rsidTr="003C781F">
        <w:tc>
          <w:tcPr>
            <w:tcW w:w="562" w:type="dxa"/>
          </w:tcPr>
          <w:p w14:paraId="28857511" w14:textId="77777777" w:rsidR="00173258" w:rsidRPr="00666A2A" w:rsidRDefault="00173258"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22E8DD20" w14:textId="3E2F90E5" w:rsidR="00173258" w:rsidRPr="00666A2A" w:rsidRDefault="00F31BCB" w:rsidP="00580B7B">
            <w:pPr>
              <w:spacing w:after="120"/>
              <w:jc w:val="both"/>
              <w:rPr>
                <w:rFonts w:ascii="Arial" w:hAnsi="Arial" w:cs="Arial"/>
                <w:sz w:val="23"/>
                <w:szCs w:val="23"/>
              </w:rPr>
            </w:pPr>
            <w:r w:rsidRPr="00666A2A">
              <w:rPr>
                <w:rFonts w:ascii="Arial" w:hAnsi="Arial" w:cs="Arial"/>
                <w:sz w:val="23"/>
                <w:szCs w:val="23"/>
              </w:rPr>
              <w:t>FSCA</w:t>
            </w:r>
          </w:p>
        </w:tc>
        <w:tc>
          <w:tcPr>
            <w:tcW w:w="1418" w:type="dxa"/>
          </w:tcPr>
          <w:p w14:paraId="5A77E732" w14:textId="519D9E85" w:rsidR="00173258"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44ED4972" w14:textId="27347FD3" w:rsidR="00173258" w:rsidRPr="00666A2A" w:rsidRDefault="00173258" w:rsidP="00A1617C">
            <w:pPr>
              <w:pStyle w:val="ListParagraph"/>
              <w:spacing w:after="120" w:line="276" w:lineRule="auto"/>
              <w:ind w:left="360" w:hanging="360"/>
              <w:jc w:val="both"/>
              <w:rPr>
                <w:rFonts w:ascii="Arial" w:hAnsi="Arial" w:cs="Arial"/>
                <w:sz w:val="23"/>
                <w:szCs w:val="23"/>
                <w:lang w:val="en-GB"/>
              </w:rPr>
            </w:pPr>
            <w:r w:rsidRPr="00666A2A">
              <w:rPr>
                <w:rFonts w:ascii="Arial" w:hAnsi="Arial" w:cs="Arial"/>
                <w:bCs/>
                <w:sz w:val="23"/>
                <w:szCs w:val="23"/>
              </w:rPr>
              <w:t xml:space="preserve">“Termination right” </w:t>
            </w:r>
            <w:r w:rsidRPr="00666A2A">
              <w:rPr>
                <w:rFonts w:ascii="Arial" w:hAnsi="Arial" w:cs="Arial"/>
                <w:bCs/>
                <w:sz w:val="23"/>
                <w:szCs w:val="23"/>
                <w:lang w:val="en-ZA"/>
              </w:rPr>
              <w:t xml:space="preserve">It is recommended that </w:t>
            </w:r>
            <w:r w:rsidRPr="00666A2A">
              <w:rPr>
                <w:rFonts w:ascii="Arial" w:hAnsi="Arial" w:cs="Arial"/>
                <w:b/>
                <w:i/>
                <w:iCs/>
                <w:sz w:val="23"/>
                <w:szCs w:val="23"/>
                <w:lang w:val="en-ZA"/>
              </w:rPr>
              <w:t>to</w:t>
            </w:r>
            <w:r w:rsidRPr="00666A2A">
              <w:rPr>
                <w:rFonts w:ascii="Arial" w:hAnsi="Arial" w:cs="Arial"/>
                <w:bCs/>
                <w:i/>
                <w:iCs/>
                <w:sz w:val="23"/>
                <w:szCs w:val="23"/>
                <w:lang w:val="en-ZA"/>
              </w:rPr>
              <w:t xml:space="preserve"> </w:t>
            </w:r>
            <w:r w:rsidRPr="00666A2A">
              <w:rPr>
                <w:rFonts w:ascii="Arial" w:hAnsi="Arial" w:cs="Arial"/>
                <w:bCs/>
                <w:sz w:val="23"/>
                <w:szCs w:val="23"/>
                <w:lang w:val="en-ZA"/>
              </w:rPr>
              <w:t xml:space="preserve">preceding </w:t>
            </w:r>
            <w:r w:rsidRPr="00666A2A">
              <w:rPr>
                <w:rFonts w:ascii="Arial" w:hAnsi="Arial" w:cs="Arial"/>
                <w:bCs/>
                <w:i/>
                <w:iCs/>
                <w:sz w:val="23"/>
                <w:szCs w:val="23"/>
                <w:lang w:val="en-ZA"/>
              </w:rPr>
              <w:t>prevent</w:t>
            </w:r>
            <w:r w:rsidRPr="00666A2A">
              <w:rPr>
                <w:rFonts w:ascii="Arial" w:hAnsi="Arial" w:cs="Arial"/>
                <w:bCs/>
                <w:sz w:val="23"/>
                <w:szCs w:val="23"/>
                <w:lang w:val="en-ZA"/>
              </w:rPr>
              <w:t xml:space="preserve"> in paragraph (b) be deleted.</w:t>
            </w:r>
          </w:p>
        </w:tc>
        <w:tc>
          <w:tcPr>
            <w:tcW w:w="7229" w:type="dxa"/>
          </w:tcPr>
          <w:p w14:paraId="5E2783E9" w14:textId="46A7137F" w:rsidR="00173258" w:rsidRPr="00666A2A" w:rsidRDefault="00D93B47" w:rsidP="00A1617C">
            <w:pPr>
              <w:spacing w:after="120"/>
              <w:jc w:val="both"/>
              <w:rPr>
                <w:rFonts w:ascii="Arial" w:hAnsi="Arial" w:cs="Arial"/>
                <w:sz w:val="23"/>
                <w:szCs w:val="23"/>
                <w:lang w:val="en-GB"/>
              </w:rPr>
            </w:pPr>
            <w:r w:rsidRPr="00666A2A">
              <w:rPr>
                <w:rFonts w:ascii="Arial" w:hAnsi="Arial" w:cs="Arial"/>
                <w:sz w:val="23"/>
                <w:szCs w:val="23"/>
                <w:lang w:val="en-GB"/>
              </w:rPr>
              <w:t>The comment is n</w:t>
            </w:r>
            <w:r w:rsidR="00F56670" w:rsidRPr="00666A2A">
              <w:rPr>
                <w:rFonts w:ascii="Arial" w:hAnsi="Arial" w:cs="Arial"/>
                <w:sz w:val="23"/>
                <w:szCs w:val="23"/>
                <w:lang w:val="en-GB"/>
              </w:rPr>
              <w:t>oted. The definition has been amended in line with the comment.</w:t>
            </w:r>
          </w:p>
        </w:tc>
      </w:tr>
      <w:tr w:rsidR="008C4560" w:rsidRPr="00666A2A" w14:paraId="78453CFB" w14:textId="77777777" w:rsidTr="003C781F">
        <w:tc>
          <w:tcPr>
            <w:tcW w:w="562" w:type="dxa"/>
          </w:tcPr>
          <w:p w14:paraId="57A3D448" w14:textId="0B090C92" w:rsidR="007A4FEA" w:rsidRPr="00666A2A" w:rsidRDefault="007A4FEA"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4313C2D2" w14:textId="7A5AA587" w:rsidR="007A4FEA" w:rsidRPr="00666A2A" w:rsidRDefault="007A4FEA" w:rsidP="00580B7B">
            <w:pPr>
              <w:spacing w:after="120"/>
              <w:jc w:val="both"/>
              <w:rPr>
                <w:rFonts w:ascii="Arial" w:hAnsi="Arial" w:cs="Arial"/>
                <w:sz w:val="23"/>
                <w:szCs w:val="23"/>
                <w:lang w:val="en-GB"/>
              </w:rPr>
            </w:pPr>
            <w:r w:rsidRPr="00666A2A">
              <w:rPr>
                <w:rFonts w:ascii="Arial" w:hAnsi="Arial" w:cs="Arial"/>
                <w:sz w:val="23"/>
                <w:szCs w:val="23"/>
              </w:rPr>
              <w:t>ICMA</w:t>
            </w:r>
            <w:r w:rsidR="00575C71" w:rsidRPr="00666A2A">
              <w:rPr>
                <w:rFonts w:ascii="Arial" w:hAnsi="Arial" w:cs="Arial"/>
                <w:sz w:val="23"/>
                <w:szCs w:val="23"/>
              </w:rPr>
              <w:t xml:space="preserve"> and ISLA</w:t>
            </w:r>
          </w:p>
        </w:tc>
        <w:tc>
          <w:tcPr>
            <w:tcW w:w="1418" w:type="dxa"/>
          </w:tcPr>
          <w:p w14:paraId="6825C502" w14:textId="44785F1B" w:rsidR="007A4FEA" w:rsidRPr="00666A2A" w:rsidRDefault="00F31BCB" w:rsidP="00580B7B">
            <w:pPr>
              <w:spacing w:after="120"/>
              <w:jc w:val="both"/>
              <w:rPr>
                <w:rFonts w:ascii="Arial" w:hAnsi="Arial" w:cs="Arial"/>
                <w:sz w:val="23"/>
                <w:szCs w:val="23"/>
                <w:lang w:val="en-GB"/>
              </w:rPr>
            </w:pPr>
            <w:r w:rsidRPr="00666A2A">
              <w:rPr>
                <w:rFonts w:ascii="Arial" w:hAnsi="Arial" w:cs="Arial"/>
                <w:sz w:val="23"/>
                <w:szCs w:val="23"/>
                <w:lang w:val="en-GB"/>
              </w:rPr>
              <w:t>3.1</w:t>
            </w:r>
          </w:p>
        </w:tc>
        <w:tc>
          <w:tcPr>
            <w:tcW w:w="9639" w:type="dxa"/>
          </w:tcPr>
          <w:p w14:paraId="0C03CBF3" w14:textId="5837E9EC" w:rsidR="007A4FEA" w:rsidRPr="00666A2A" w:rsidRDefault="00317323" w:rsidP="00A1617C">
            <w:pPr>
              <w:pStyle w:val="ListParagraph"/>
              <w:spacing w:after="120" w:line="276" w:lineRule="auto"/>
              <w:ind w:left="360" w:hanging="360"/>
              <w:jc w:val="both"/>
              <w:rPr>
                <w:rFonts w:ascii="Arial" w:hAnsi="Arial" w:cs="Arial"/>
                <w:sz w:val="23"/>
                <w:szCs w:val="23"/>
                <w:lang w:val="en-GB"/>
              </w:rPr>
            </w:pPr>
            <w:r w:rsidRPr="00666A2A">
              <w:rPr>
                <w:rFonts w:ascii="Arial" w:hAnsi="Arial" w:cs="Arial"/>
                <w:sz w:val="23"/>
                <w:szCs w:val="23"/>
                <w:lang w:val="en-GB"/>
              </w:rPr>
              <w:t>No comment.</w:t>
            </w:r>
          </w:p>
        </w:tc>
        <w:tc>
          <w:tcPr>
            <w:tcW w:w="7229" w:type="dxa"/>
          </w:tcPr>
          <w:p w14:paraId="08B3E42D" w14:textId="21EA02E9" w:rsidR="007A4FEA" w:rsidRPr="00666A2A" w:rsidRDefault="00DD0C1D" w:rsidP="00A1617C">
            <w:pPr>
              <w:spacing w:after="120"/>
              <w:jc w:val="both"/>
              <w:rPr>
                <w:rFonts w:ascii="Arial" w:hAnsi="Arial" w:cs="Arial"/>
                <w:sz w:val="23"/>
                <w:szCs w:val="23"/>
                <w:lang w:val="en-GB"/>
              </w:rPr>
            </w:pPr>
            <w:r w:rsidRPr="00666A2A">
              <w:rPr>
                <w:rFonts w:ascii="Arial" w:hAnsi="Arial" w:cs="Arial"/>
                <w:sz w:val="23"/>
                <w:szCs w:val="23"/>
                <w:lang w:val="en-GB"/>
              </w:rPr>
              <w:t>N</w:t>
            </w:r>
            <w:r w:rsidR="00F56670" w:rsidRPr="00666A2A">
              <w:rPr>
                <w:rFonts w:ascii="Arial" w:hAnsi="Arial" w:cs="Arial"/>
                <w:sz w:val="23"/>
                <w:szCs w:val="23"/>
                <w:lang w:val="en-GB"/>
              </w:rPr>
              <w:t>oted.</w:t>
            </w:r>
          </w:p>
        </w:tc>
      </w:tr>
      <w:tr w:rsidR="008C4560" w:rsidRPr="00666A2A" w14:paraId="7E0693BB" w14:textId="77777777" w:rsidTr="003C781F">
        <w:tc>
          <w:tcPr>
            <w:tcW w:w="562" w:type="dxa"/>
          </w:tcPr>
          <w:p w14:paraId="77E183C1" w14:textId="63CA1331" w:rsidR="007A4FEA" w:rsidRPr="00666A2A" w:rsidRDefault="007A4FEA"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21887036" w14:textId="7915FD1F" w:rsidR="007A4FEA" w:rsidRPr="00666A2A" w:rsidRDefault="007A4FEA" w:rsidP="00580B7B">
            <w:pPr>
              <w:spacing w:after="120"/>
              <w:rPr>
                <w:rFonts w:ascii="Arial" w:hAnsi="Arial" w:cs="Arial"/>
                <w:sz w:val="23"/>
                <w:szCs w:val="23"/>
                <w:lang w:val="en-GB"/>
              </w:rPr>
            </w:pPr>
            <w:r w:rsidRPr="00666A2A">
              <w:rPr>
                <w:rFonts w:ascii="Arial" w:hAnsi="Arial" w:cs="Arial"/>
                <w:sz w:val="23"/>
                <w:szCs w:val="23"/>
              </w:rPr>
              <w:t>ISDA</w:t>
            </w:r>
          </w:p>
        </w:tc>
        <w:tc>
          <w:tcPr>
            <w:tcW w:w="1418" w:type="dxa"/>
          </w:tcPr>
          <w:p w14:paraId="0A458D14" w14:textId="5092177C" w:rsidR="007A4FEA" w:rsidRPr="00666A2A" w:rsidRDefault="00F31BCB" w:rsidP="00580B7B">
            <w:pPr>
              <w:spacing w:after="120"/>
              <w:rPr>
                <w:rFonts w:ascii="Arial" w:hAnsi="Arial" w:cs="Arial"/>
                <w:sz w:val="23"/>
                <w:szCs w:val="23"/>
                <w:lang w:val="en-GB"/>
              </w:rPr>
            </w:pPr>
            <w:r w:rsidRPr="00666A2A">
              <w:rPr>
                <w:rFonts w:ascii="Arial" w:hAnsi="Arial" w:cs="Arial"/>
                <w:sz w:val="23"/>
                <w:szCs w:val="23"/>
                <w:lang w:val="en-GB"/>
              </w:rPr>
              <w:t>3.1</w:t>
            </w:r>
          </w:p>
        </w:tc>
        <w:tc>
          <w:tcPr>
            <w:tcW w:w="9639" w:type="dxa"/>
            <w:shd w:val="clear" w:color="auto" w:fill="auto"/>
          </w:tcPr>
          <w:p w14:paraId="2941FA5B" w14:textId="3AF3B204" w:rsidR="007A4FEA" w:rsidRPr="00666A2A" w:rsidRDefault="00317323" w:rsidP="00A1617C">
            <w:pPr>
              <w:spacing w:after="120"/>
              <w:ind w:firstLine="32"/>
              <w:jc w:val="both"/>
              <w:rPr>
                <w:rFonts w:ascii="Arial" w:eastAsia="Times New Roman" w:hAnsi="Arial" w:cs="Arial"/>
                <w:sz w:val="23"/>
                <w:szCs w:val="23"/>
                <w:lang w:val="en-GB"/>
              </w:rPr>
            </w:pPr>
            <w:r w:rsidRPr="00666A2A">
              <w:rPr>
                <w:rFonts w:ascii="Arial" w:eastAsia="Times New Roman" w:hAnsi="Arial" w:cs="Arial"/>
                <w:sz w:val="23"/>
                <w:szCs w:val="23"/>
              </w:rPr>
              <w:t>“Designated Institution in Resolution” Please clarify how the Draft Prudential Standard will operate and be applicable in respect of branches of foreign institutions established under the Banks Act, 1990</w:t>
            </w:r>
          </w:p>
        </w:tc>
        <w:tc>
          <w:tcPr>
            <w:tcW w:w="7229" w:type="dxa"/>
          </w:tcPr>
          <w:p w14:paraId="3C228228" w14:textId="780F9D88" w:rsidR="00535F7B" w:rsidRPr="00666A2A" w:rsidRDefault="00535F7B"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We confirm that the </w:t>
            </w:r>
            <w:r w:rsidR="00D93B47"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will be applicable to a branch because in terms of the Act, a bank is a designated institution whereas </w:t>
            </w:r>
            <w:r w:rsidR="00D43F77" w:rsidRPr="00666A2A">
              <w:rPr>
                <w:rFonts w:ascii="Arial" w:eastAsia="Times New Roman" w:hAnsi="Arial" w:cs="Arial"/>
                <w:sz w:val="23"/>
                <w:szCs w:val="23"/>
                <w:lang w:val="en-GB"/>
              </w:rPr>
              <w:t>a bank</w:t>
            </w:r>
            <w:r w:rsidR="004E3E3A" w:rsidRPr="00666A2A">
              <w:rPr>
                <w:rFonts w:ascii="Arial" w:eastAsia="Times New Roman" w:hAnsi="Arial" w:cs="Arial"/>
                <w:sz w:val="23"/>
                <w:szCs w:val="23"/>
                <w:lang w:val="en-GB"/>
              </w:rPr>
              <w:t xml:space="preserve"> is</w:t>
            </w:r>
            <w:r w:rsidR="004C469F" w:rsidRPr="00666A2A">
              <w:rPr>
                <w:rFonts w:ascii="Arial" w:eastAsia="Times New Roman" w:hAnsi="Arial" w:cs="Arial"/>
                <w:sz w:val="23"/>
                <w:szCs w:val="23"/>
                <w:lang w:val="en-GB"/>
              </w:rPr>
              <w:t xml:space="preserve"> define</w:t>
            </w:r>
            <w:r w:rsidR="004E3E3A" w:rsidRPr="00666A2A">
              <w:rPr>
                <w:rFonts w:ascii="Arial" w:eastAsia="Times New Roman" w:hAnsi="Arial" w:cs="Arial"/>
                <w:sz w:val="23"/>
                <w:szCs w:val="23"/>
                <w:lang w:val="en-GB"/>
              </w:rPr>
              <w:t>d as</w:t>
            </w:r>
            <w:r w:rsidRPr="00666A2A">
              <w:rPr>
                <w:rFonts w:ascii="Arial" w:eastAsia="Times New Roman" w:hAnsi="Arial" w:cs="Arial"/>
                <w:sz w:val="23"/>
                <w:szCs w:val="23"/>
                <w:lang w:val="en-GB"/>
              </w:rPr>
              <w:t xml:space="preserve"> – </w:t>
            </w:r>
          </w:p>
          <w:p w14:paraId="0D8B56E4" w14:textId="77777777" w:rsidR="00535F7B" w:rsidRPr="00666A2A" w:rsidRDefault="00535F7B" w:rsidP="00A1617C">
            <w:pPr>
              <w:spacing w:after="120"/>
              <w:jc w:val="both"/>
              <w:rPr>
                <w:rFonts w:ascii="Arial" w:eastAsia="Times New Roman" w:hAnsi="Arial" w:cs="Arial"/>
                <w:sz w:val="23"/>
                <w:szCs w:val="23"/>
              </w:rPr>
            </w:pPr>
            <w:r w:rsidRPr="00666A2A">
              <w:rPr>
                <w:rFonts w:ascii="Arial" w:eastAsia="Times New Roman" w:hAnsi="Arial" w:cs="Arial"/>
                <w:sz w:val="23"/>
                <w:szCs w:val="23"/>
                <w:lang w:val="en-GB"/>
              </w:rPr>
              <w:t xml:space="preserve"> </w:t>
            </w:r>
            <w:r w:rsidRPr="00666A2A">
              <w:rPr>
                <w:rFonts w:ascii="Arial" w:eastAsia="Times New Roman" w:hAnsi="Arial" w:cs="Arial"/>
                <w:sz w:val="23"/>
                <w:szCs w:val="23"/>
              </w:rPr>
              <w:t xml:space="preserve">“bank” means each of the following: </w:t>
            </w:r>
          </w:p>
          <w:p w14:paraId="1AA451C3" w14:textId="0D18D00B" w:rsidR="00535F7B" w:rsidRPr="00666A2A" w:rsidRDefault="00535F7B" w:rsidP="00A1617C">
            <w:pPr>
              <w:pStyle w:val="ListParagraph"/>
              <w:numPr>
                <w:ilvl w:val="0"/>
                <w:numId w:val="18"/>
              </w:numPr>
              <w:spacing w:after="120" w:line="276" w:lineRule="auto"/>
              <w:ind w:hanging="543"/>
              <w:jc w:val="both"/>
              <w:rPr>
                <w:rFonts w:ascii="Arial" w:eastAsia="Times New Roman" w:hAnsi="Arial" w:cs="Arial"/>
                <w:sz w:val="23"/>
                <w:szCs w:val="23"/>
              </w:rPr>
            </w:pPr>
            <w:r w:rsidRPr="00666A2A">
              <w:rPr>
                <w:rFonts w:ascii="Arial" w:eastAsia="Times New Roman" w:hAnsi="Arial" w:cs="Arial"/>
                <w:sz w:val="23"/>
                <w:szCs w:val="23"/>
              </w:rPr>
              <w:t xml:space="preserve">a bank as defined in the Banks </w:t>
            </w:r>
            <w:proofErr w:type="gramStart"/>
            <w:r w:rsidRPr="00666A2A">
              <w:rPr>
                <w:rFonts w:ascii="Arial" w:eastAsia="Times New Roman" w:hAnsi="Arial" w:cs="Arial"/>
                <w:sz w:val="23"/>
                <w:szCs w:val="23"/>
              </w:rPr>
              <w:t>Act;</w:t>
            </w:r>
            <w:proofErr w:type="gramEnd"/>
            <w:r w:rsidRPr="00666A2A">
              <w:rPr>
                <w:rFonts w:ascii="Arial" w:eastAsia="Times New Roman" w:hAnsi="Arial" w:cs="Arial"/>
                <w:sz w:val="23"/>
                <w:szCs w:val="23"/>
              </w:rPr>
              <w:t xml:space="preserve"> </w:t>
            </w:r>
          </w:p>
          <w:p w14:paraId="5CC4A33E" w14:textId="65753CCD" w:rsidR="00535F7B" w:rsidRPr="00666A2A" w:rsidRDefault="00535F7B" w:rsidP="00A1617C">
            <w:pPr>
              <w:pStyle w:val="ListParagraph"/>
              <w:numPr>
                <w:ilvl w:val="0"/>
                <w:numId w:val="18"/>
              </w:numPr>
              <w:spacing w:after="120" w:line="276" w:lineRule="auto"/>
              <w:ind w:hanging="543"/>
              <w:jc w:val="both"/>
              <w:rPr>
                <w:rFonts w:ascii="Arial" w:eastAsia="Times New Roman" w:hAnsi="Arial" w:cs="Arial"/>
                <w:sz w:val="23"/>
                <w:szCs w:val="23"/>
              </w:rPr>
            </w:pPr>
            <w:r w:rsidRPr="00666A2A">
              <w:rPr>
                <w:rFonts w:ascii="Arial" w:eastAsia="Times New Roman" w:hAnsi="Arial" w:cs="Arial"/>
                <w:sz w:val="23"/>
                <w:szCs w:val="23"/>
              </w:rPr>
              <w:t xml:space="preserve">a branch as defined in the Banks </w:t>
            </w:r>
            <w:proofErr w:type="gramStart"/>
            <w:r w:rsidRPr="00666A2A">
              <w:rPr>
                <w:rFonts w:ascii="Arial" w:eastAsia="Times New Roman" w:hAnsi="Arial" w:cs="Arial"/>
                <w:sz w:val="23"/>
                <w:szCs w:val="23"/>
              </w:rPr>
              <w:t>Act;</w:t>
            </w:r>
            <w:proofErr w:type="gramEnd"/>
            <w:r w:rsidRPr="00666A2A">
              <w:rPr>
                <w:rFonts w:ascii="Arial" w:eastAsia="Times New Roman" w:hAnsi="Arial" w:cs="Arial"/>
                <w:sz w:val="23"/>
                <w:szCs w:val="23"/>
              </w:rPr>
              <w:t xml:space="preserve"> </w:t>
            </w:r>
          </w:p>
          <w:p w14:paraId="5CEADCED" w14:textId="36BBB47B" w:rsidR="00535F7B" w:rsidRPr="00666A2A" w:rsidRDefault="00535F7B" w:rsidP="00A1617C">
            <w:pPr>
              <w:pStyle w:val="ListParagraph"/>
              <w:numPr>
                <w:ilvl w:val="0"/>
                <w:numId w:val="18"/>
              </w:numPr>
              <w:spacing w:after="120" w:line="276" w:lineRule="auto"/>
              <w:ind w:hanging="543"/>
              <w:jc w:val="both"/>
              <w:rPr>
                <w:rFonts w:ascii="Arial" w:eastAsia="Times New Roman" w:hAnsi="Arial" w:cs="Arial"/>
                <w:sz w:val="23"/>
                <w:szCs w:val="23"/>
              </w:rPr>
            </w:pPr>
            <w:r w:rsidRPr="00666A2A">
              <w:rPr>
                <w:rFonts w:ascii="Arial" w:eastAsia="Times New Roman" w:hAnsi="Arial" w:cs="Arial"/>
                <w:sz w:val="23"/>
                <w:szCs w:val="23"/>
              </w:rPr>
              <w:t xml:space="preserve">a mutual bank as defined in the Mutual Banks Act, 1993 (Act No. 124 of 1993); or </w:t>
            </w:r>
          </w:p>
          <w:p w14:paraId="632E307A" w14:textId="7EB766AC" w:rsidR="007A4FEA" w:rsidRPr="00666A2A" w:rsidRDefault="00535F7B" w:rsidP="00A1617C">
            <w:pPr>
              <w:pStyle w:val="ListParagraph"/>
              <w:numPr>
                <w:ilvl w:val="0"/>
                <w:numId w:val="18"/>
              </w:numPr>
              <w:spacing w:after="120" w:line="276" w:lineRule="auto"/>
              <w:ind w:hanging="543"/>
              <w:jc w:val="both"/>
              <w:rPr>
                <w:rFonts w:ascii="Arial" w:eastAsia="Times New Roman" w:hAnsi="Arial" w:cs="Arial"/>
                <w:sz w:val="23"/>
                <w:szCs w:val="23"/>
                <w:lang w:val="en-GB"/>
              </w:rPr>
            </w:pPr>
            <w:r w:rsidRPr="00666A2A">
              <w:rPr>
                <w:rFonts w:ascii="Arial" w:eastAsia="Times New Roman" w:hAnsi="Arial" w:cs="Arial"/>
                <w:sz w:val="23"/>
                <w:szCs w:val="23"/>
              </w:rPr>
              <w:lastRenderedPageBreak/>
              <w:t>(d) a co-operative bank as defined in the Co-operative Banks Act, 2007 (Act No. 40 of 2007);</w:t>
            </w:r>
          </w:p>
        </w:tc>
      </w:tr>
      <w:tr w:rsidR="008C4560" w:rsidRPr="00666A2A" w14:paraId="69C4215A" w14:textId="77777777" w:rsidTr="003C781F">
        <w:tc>
          <w:tcPr>
            <w:tcW w:w="562" w:type="dxa"/>
          </w:tcPr>
          <w:p w14:paraId="62F06853" w14:textId="77777777" w:rsidR="00317323" w:rsidRPr="00666A2A" w:rsidRDefault="0031732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3BDF1C68" w14:textId="0A422B11" w:rsidR="00317323" w:rsidRPr="00666A2A" w:rsidRDefault="00317323" w:rsidP="00580B7B">
            <w:pPr>
              <w:spacing w:after="120"/>
              <w:rPr>
                <w:rFonts w:ascii="Arial" w:hAnsi="Arial" w:cs="Arial"/>
                <w:sz w:val="23"/>
                <w:szCs w:val="23"/>
              </w:rPr>
            </w:pPr>
            <w:r w:rsidRPr="00666A2A">
              <w:rPr>
                <w:rFonts w:ascii="Arial" w:hAnsi="Arial" w:cs="Arial"/>
                <w:sz w:val="23"/>
                <w:szCs w:val="23"/>
              </w:rPr>
              <w:t>ISDA</w:t>
            </w:r>
          </w:p>
        </w:tc>
        <w:tc>
          <w:tcPr>
            <w:tcW w:w="1418" w:type="dxa"/>
          </w:tcPr>
          <w:p w14:paraId="79519CF7" w14:textId="08A607A2" w:rsidR="00317323" w:rsidRPr="00666A2A" w:rsidRDefault="00F31BCB" w:rsidP="00580B7B">
            <w:pPr>
              <w:spacing w:after="120"/>
              <w:rPr>
                <w:rFonts w:ascii="Arial" w:hAnsi="Arial" w:cs="Arial"/>
                <w:sz w:val="23"/>
                <w:szCs w:val="23"/>
                <w:lang w:val="en-GB"/>
              </w:rPr>
            </w:pPr>
            <w:r w:rsidRPr="00666A2A">
              <w:rPr>
                <w:rFonts w:ascii="Arial" w:hAnsi="Arial" w:cs="Arial"/>
                <w:sz w:val="23"/>
                <w:szCs w:val="23"/>
                <w:lang w:val="en-GB"/>
              </w:rPr>
              <w:t>3.1</w:t>
            </w:r>
          </w:p>
        </w:tc>
        <w:tc>
          <w:tcPr>
            <w:tcW w:w="9639" w:type="dxa"/>
            <w:shd w:val="clear" w:color="auto" w:fill="auto"/>
          </w:tcPr>
          <w:p w14:paraId="4AFFB21B" w14:textId="50B46476" w:rsidR="00317323" w:rsidRPr="00666A2A" w:rsidRDefault="00317323" w:rsidP="00A1617C">
            <w:pPr>
              <w:spacing w:after="120"/>
              <w:ind w:firstLine="32"/>
              <w:jc w:val="both"/>
              <w:rPr>
                <w:rFonts w:ascii="Arial" w:eastAsia="Times New Roman" w:hAnsi="Arial" w:cs="Arial"/>
                <w:sz w:val="23"/>
                <w:szCs w:val="23"/>
                <w:lang w:val="en-GB"/>
              </w:rPr>
            </w:pPr>
            <w:r w:rsidRPr="00666A2A">
              <w:rPr>
                <w:rFonts w:ascii="Arial" w:eastAsia="Times New Roman" w:hAnsi="Arial" w:cs="Arial"/>
                <w:sz w:val="23"/>
                <w:szCs w:val="23"/>
              </w:rPr>
              <w:t xml:space="preserve">“Contractual recognition approach” If a covered contract already includes an acknowledgement and acceptance of resolution stays in general, or of the resolution stays imposed in terms of EU, </w:t>
            </w:r>
            <w:proofErr w:type="gramStart"/>
            <w:r w:rsidRPr="00666A2A">
              <w:rPr>
                <w:rFonts w:ascii="Arial" w:eastAsia="Times New Roman" w:hAnsi="Arial" w:cs="Arial"/>
                <w:sz w:val="23"/>
                <w:szCs w:val="23"/>
              </w:rPr>
              <w:t>UK</w:t>
            </w:r>
            <w:proofErr w:type="gramEnd"/>
            <w:r w:rsidRPr="00666A2A">
              <w:rPr>
                <w:rFonts w:ascii="Arial" w:eastAsia="Times New Roman" w:hAnsi="Arial" w:cs="Arial"/>
                <w:sz w:val="23"/>
                <w:szCs w:val="23"/>
              </w:rPr>
              <w:t xml:space="preserve"> or US regimes, will it be necessary to include additional language in these contracts specifically referring to the stay that can be imposed by the South African Reserve Bank in terms of the Draft Prudential Standard?</w:t>
            </w:r>
          </w:p>
        </w:tc>
        <w:tc>
          <w:tcPr>
            <w:tcW w:w="7229" w:type="dxa"/>
          </w:tcPr>
          <w:p w14:paraId="4E6091BF" w14:textId="45F5A562" w:rsidR="00317323" w:rsidRPr="00666A2A" w:rsidRDefault="00D63D04"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The contractual recognition approach as provided for in the </w:t>
            </w:r>
            <w:r w:rsidR="004C469F"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aims to facilitate the recognition of South African resolution stays in covered contracts. It will therefore be necessary to make specific provision for South African resolution stays in the relevant contracts.</w:t>
            </w:r>
          </w:p>
        </w:tc>
      </w:tr>
      <w:tr w:rsidR="008C4560" w:rsidRPr="00666A2A" w14:paraId="4A5E1ABF" w14:textId="77777777" w:rsidTr="003C781F">
        <w:tc>
          <w:tcPr>
            <w:tcW w:w="562" w:type="dxa"/>
          </w:tcPr>
          <w:p w14:paraId="3EA97EBB" w14:textId="5A4F3C9B" w:rsidR="007A4FEA" w:rsidRPr="00666A2A" w:rsidRDefault="007A4FEA"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076FAA1F" w14:textId="5B9C7F67" w:rsidR="007A4FEA" w:rsidRPr="00666A2A" w:rsidRDefault="007A4FEA" w:rsidP="00580B7B">
            <w:pPr>
              <w:spacing w:after="120"/>
              <w:rPr>
                <w:rFonts w:ascii="Arial" w:hAnsi="Arial" w:cs="Arial"/>
                <w:sz w:val="23"/>
                <w:szCs w:val="23"/>
                <w:lang w:val="en-GB"/>
              </w:rPr>
            </w:pPr>
            <w:r w:rsidRPr="00666A2A">
              <w:rPr>
                <w:rFonts w:ascii="Arial" w:hAnsi="Arial" w:cs="Arial"/>
                <w:sz w:val="23"/>
                <w:szCs w:val="23"/>
              </w:rPr>
              <w:t>Nedbank</w:t>
            </w:r>
          </w:p>
        </w:tc>
        <w:tc>
          <w:tcPr>
            <w:tcW w:w="1418" w:type="dxa"/>
          </w:tcPr>
          <w:p w14:paraId="61DE2719" w14:textId="52C92D42" w:rsidR="007A4FEA" w:rsidRPr="00666A2A" w:rsidRDefault="00F31BCB" w:rsidP="00580B7B">
            <w:pPr>
              <w:spacing w:after="120"/>
              <w:rPr>
                <w:rFonts w:ascii="Arial" w:hAnsi="Arial" w:cs="Arial"/>
                <w:sz w:val="23"/>
                <w:szCs w:val="23"/>
                <w:lang w:val="en-GB"/>
              </w:rPr>
            </w:pPr>
            <w:r w:rsidRPr="00666A2A">
              <w:rPr>
                <w:rFonts w:ascii="Arial" w:hAnsi="Arial" w:cs="Arial"/>
                <w:sz w:val="23"/>
                <w:szCs w:val="23"/>
                <w:lang w:val="en-GB"/>
              </w:rPr>
              <w:t>3.1</w:t>
            </w:r>
          </w:p>
        </w:tc>
        <w:tc>
          <w:tcPr>
            <w:tcW w:w="9639" w:type="dxa"/>
            <w:shd w:val="clear" w:color="auto" w:fill="auto"/>
          </w:tcPr>
          <w:p w14:paraId="228EE0FF" w14:textId="04C0D56A" w:rsidR="007A4FEA" w:rsidRPr="00666A2A" w:rsidRDefault="00317323"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 comment.</w:t>
            </w:r>
          </w:p>
        </w:tc>
        <w:tc>
          <w:tcPr>
            <w:tcW w:w="7229" w:type="dxa"/>
          </w:tcPr>
          <w:p w14:paraId="5E5A543A" w14:textId="05D774BB" w:rsidR="007A4FEA" w:rsidRPr="00666A2A" w:rsidRDefault="00F56670" w:rsidP="00A1617C">
            <w:pPr>
              <w:spacing w:after="120"/>
              <w:jc w:val="both"/>
              <w:rPr>
                <w:rFonts w:ascii="Arial" w:eastAsia="Times New Roman" w:hAnsi="Arial" w:cs="Arial"/>
                <w:sz w:val="23"/>
                <w:szCs w:val="23"/>
                <w:highlight w:val="yellow"/>
                <w:lang w:val="en-GB"/>
              </w:rPr>
            </w:pPr>
            <w:r w:rsidRPr="00666A2A">
              <w:rPr>
                <w:rFonts w:ascii="Arial" w:eastAsia="Times New Roman" w:hAnsi="Arial" w:cs="Arial"/>
                <w:sz w:val="23"/>
                <w:szCs w:val="23"/>
                <w:lang w:val="en-GB"/>
              </w:rPr>
              <w:t>Noted.</w:t>
            </w:r>
          </w:p>
        </w:tc>
      </w:tr>
      <w:tr w:rsidR="008C4560" w:rsidRPr="00666A2A" w14:paraId="3CFB6567" w14:textId="77777777" w:rsidTr="003C781F">
        <w:tc>
          <w:tcPr>
            <w:tcW w:w="562" w:type="dxa"/>
          </w:tcPr>
          <w:p w14:paraId="1734FDE3" w14:textId="2CD4DF2D" w:rsidR="007A4FEA" w:rsidRPr="00666A2A" w:rsidRDefault="007A4FEA"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6FCA18A" w14:textId="1DD0770D" w:rsidR="007A4FEA" w:rsidRPr="00666A2A" w:rsidRDefault="007A4FEA" w:rsidP="00580B7B">
            <w:pPr>
              <w:spacing w:after="120"/>
              <w:rPr>
                <w:rFonts w:ascii="Arial" w:hAnsi="Arial" w:cs="Arial"/>
                <w:sz w:val="23"/>
                <w:szCs w:val="23"/>
                <w:lang w:val="en-GB"/>
              </w:rPr>
            </w:pPr>
            <w:r w:rsidRPr="00666A2A">
              <w:rPr>
                <w:rFonts w:ascii="Arial" w:hAnsi="Arial" w:cs="Arial"/>
                <w:sz w:val="23"/>
                <w:szCs w:val="23"/>
              </w:rPr>
              <w:t>SASLA</w:t>
            </w:r>
          </w:p>
        </w:tc>
        <w:tc>
          <w:tcPr>
            <w:tcW w:w="1418" w:type="dxa"/>
          </w:tcPr>
          <w:p w14:paraId="04CE0E31" w14:textId="7C4834C6" w:rsidR="007A4FEA" w:rsidRPr="00666A2A" w:rsidRDefault="00F31BCB" w:rsidP="00580B7B">
            <w:pPr>
              <w:spacing w:after="120"/>
              <w:rPr>
                <w:rFonts w:ascii="Arial" w:hAnsi="Arial" w:cs="Arial"/>
                <w:sz w:val="23"/>
                <w:szCs w:val="23"/>
                <w:lang w:val="en-GB"/>
              </w:rPr>
            </w:pPr>
            <w:r w:rsidRPr="00666A2A">
              <w:rPr>
                <w:rFonts w:ascii="Arial" w:hAnsi="Arial" w:cs="Arial"/>
                <w:sz w:val="23"/>
                <w:szCs w:val="23"/>
                <w:lang w:val="en-GB"/>
              </w:rPr>
              <w:t>3.1</w:t>
            </w:r>
          </w:p>
        </w:tc>
        <w:tc>
          <w:tcPr>
            <w:tcW w:w="9639" w:type="dxa"/>
          </w:tcPr>
          <w:p w14:paraId="70032638" w14:textId="702FD9CA" w:rsidR="007A4FEA" w:rsidRPr="00666A2A" w:rsidRDefault="00317323" w:rsidP="00A1617C">
            <w:pPr>
              <w:spacing w:after="120"/>
              <w:jc w:val="both"/>
              <w:rPr>
                <w:rFonts w:ascii="Arial" w:eastAsia="Times New Roman" w:hAnsi="Arial" w:cs="Arial"/>
                <w:bCs/>
                <w:sz w:val="23"/>
                <w:szCs w:val="23"/>
              </w:rPr>
            </w:pPr>
            <w:r w:rsidRPr="00666A2A">
              <w:rPr>
                <w:rFonts w:ascii="Arial" w:eastAsia="Times New Roman" w:hAnsi="Arial" w:cs="Arial"/>
                <w:bCs/>
                <w:sz w:val="23"/>
                <w:szCs w:val="23"/>
              </w:rPr>
              <w:t xml:space="preserve">the definitions of 'designated institution', 'designated institution in resolution', 'governing body', 'market infrastructure', 'orderly resolution of a designated institution' and 'payment system' are already defined in the Act and are therefore not needed and should be deleted. </w:t>
            </w:r>
          </w:p>
        </w:tc>
        <w:tc>
          <w:tcPr>
            <w:tcW w:w="7229" w:type="dxa"/>
          </w:tcPr>
          <w:p w14:paraId="43DE29EE" w14:textId="19C545FB" w:rsidR="007A4FEA" w:rsidRPr="00666A2A" w:rsidRDefault="00D63D04"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The comment is noted. Definitions of terms already defined in the Act have been deleted.</w:t>
            </w:r>
          </w:p>
        </w:tc>
      </w:tr>
      <w:tr w:rsidR="008C4560" w:rsidRPr="00666A2A" w14:paraId="547A2398" w14:textId="77777777" w:rsidTr="003C781F">
        <w:tc>
          <w:tcPr>
            <w:tcW w:w="562" w:type="dxa"/>
          </w:tcPr>
          <w:p w14:paraId="0214999A" w14:textId="77777777" w:rsidR="00317323" w:rsidRPr="00666A2A" w:rsidRDefault="0031732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B5566D5" w14:textId="7DC51F68" w:rsidR="00317323" w:rsidRPr="00666A2A" w:rsidRDefault="00317323" w:rsidP="00580B7B">
            <w:pPr>
              <w:spacing w:after="120"/>
              <w:rPr>
                <w:rFonts w:ascii="Arial" w:hAnsi="Arial" w:cs="Arial"/>
                <w:sz w:val="23"/>
                <w:szCs w:val="23"/>
              </w:rPr>
            </w:pPr>
            <w:r w:rsidRPr="00666A2A">
              <w:rPr>
                <w:rFonts w:ascii="Arial" w:hAnsi="Arial" w:cs="Arial"/>
                <w:sz w:val="23"/>
                <w:szCs w:val="23"/>
              </w:rPr>
              <w:t>SASLA</w:t>
            </w:r>
          </w:p>
        </w:tc>
        <w:tc>
          <w:tcPr>
            <w:tcW w:w="1418" w:type="dxa"/>
          </w:tcPr>
          <w:p w14:paraId="4656FAEF" w14:textId="27BD3876" w:rsidR="00317323" w:rsidRPr="00666A2A" w:rsidRDefault="00F31BCB" w:rsidP="00580B7B">
            <w:pPr>
              <w:spacing w:after="120"/>
              <w:rPr>
                <w:rFonts w:ascii="Arial" w:hAnsi="Arial" w:cs="Arial"/>
                <w:sz w:val="23"/>
                <w:szCs w:val="23"/>
                <w:lang w:val="en-GB"/>
              </w:rPr>
            </w:pPr>
            <w:r w:rsidRPr="00666A2A">
              <w:rPr>
                <w:rFonts w:ascii="Arial" w:hAnsi="Arial" w:cs="Arial"/>
                <w:sz w:val="23"/>
                <w:szCs w:val="23"/>
                <w:lang w:val="en-GB"/>
              </w:rPr>
              <w:t>3.1</w:t>
            </w:r>
          </w:p>
        </w:tc>
        <w:tc>
          <w:tcPr>
            <w:tcW w:w="9639" w:type="dxa"/>
          </w:tcPr>
          <w:p w14:paraId="11E56F7B" w14:textId="32BFD0AE" w:rsidR="00317323" w:rsidRPr="00666A2A" w:rsidRDefault="00317323" w:rsidP="00A1617C">
            <w:pPr>
              <w:spacing w:after="120"/>
              <w:jc w:val="both"/>
              <w:rPr>
                <w:rFonts w:ascii="Arial" w:eastAsia="Times New Roman" w:hAnsi="Arial" w:cs="Arial"/>
                <w:bCs/>
                <w:sz w:val="23"/>
                <w:szCs w:val="23"/>
              </w:rPr>
            </w:pPr>
            <w:r w:rsidRPr="00666A2A">
              <w:rPr>
                <w:rFonts w:ascii="Arial" w:eastAsia="Times New Roman" w:hAnsi="Arial" w:cs="Arial"/>
                <w:bCs/>
                <w:sz w:val="23"/>
                <w:szCs w:val="23"/>
              </w:rPr>
              <w:t>The definition of 'compliant covered contract' should be amended to delete the words "agree to", as the provisions in the compliant covered contract are the agreement.</w:t>
            </w:r>
          </w:p>
        </w:tc>
        <w:tc>
          <w:tcPr>
            <w:tcW w:w="7229" w:type="dxa"/>
          </w:tcPr>
          <w:p w14:paraId="29F26E31" w14:textId="4D7B08E5" w:rsidR="00317323" w:rsidRPr="00666A2A" w:rsidRDefault="00DD0C1D"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The comment is n</w:t>
            </w:r>
            <w:r w:rsidR="00D63D04" w:rsidRPr="00666A2A">
              <w:rPr>
                <w:rFonts w:ascii="Arial" w:eastAsia="Times New Roman" w:hAnsi="Arial" w:cs="Arial"/>
                <w:sz w:val="23"/>
                <w:szCs w:val="23"/>
                <w:lang w:val="en-GB"/>
              </w:rPr>
              <w:t>oted. The definition has been amended in line with the comment.</w:t>
            </w:r>
          </w:p>
        </w:tc>
      </w:tr>
      <w:tr w:rsidR="008C4560" w:rsidRPr="00666A2A" w14:paraId="5B50F768" w14:textId="77777777" w:rsidTr="003C781F">
        <w:tc>
          <w:tcPr>
            <w:tcW w:w="562" w:type="dxa"/>
          </w:tcPr>
          <w:p w14:paraId="2D69B47C" w14:textId="77777777" w:rsidR="00317323" w:rsidRPr="00666A2A" w:rsidRDefault="0031732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4B3DCE17" w14:textId="01EAB22F" w:rsidR="00317323" w:rsidRPr="00666A2A" w:rsidRDefault="00317323" w:rsidP="00580B7B">
            <w:pPr>
              <w:spacing w:after="120"/>
              <w:rPr>
                <w:rFonts w:ascii="Arial" w:hAnsi="Arial" w:cs="Arial"/>
                <w:sz w:val="23"/>
                <w:szCs w:val="23"/>
              </w:rPr>
            </w:pPr>
            <w:r w:rsidRPr="00666A2A">
              <w:rPr>
                <w:rFonts w:ascii="Arial" w:hAnsi="Arial" w:cs="Arial"/>
                <w:sz w:val="23"/>
                <w:szCs w:val="23"/>
              </w:rPr>
              <w:t>SASLA</w:t>
            </w:r>
          </w:p>
        </w:tc>
        <w:tc>
          <w:tcPr>
            <w:tcW w:w="1418" w:type="dxa"/>
          </w:tcPr>
          <w:p w14:paraId="1D18286A" w14:textId="6333B359" w:rsidR="00317323" w:rsidRPr="00666A2A" w:rsidRDefault="00F31BCB" w:rsidP="00580B7B">
            <w:pPr>
              <w:spacing w:after="120"/>
              <w:rPr>
                <w:rFonts w:ascii="Arial" w:hAnsi="Arial" w:cs="Arial"/>
                <w:sz w:val="23"/>
                <w:szCs w:val="23"/>
                <w:lang w:val="en-GB"/>
              </w:rPr>
            </w:pPr>
            <w:r w:rsidRPr="00666A2A">
              <w:rPr>
                <w:rFonts w:ascii="Arial" w:hAnsi="Arial" w:cs="Arial"/>
                <w:sz w:val="23"/>
                <w:szCs w:val="23"/>
                <w:lang w:val="en-GB"/>
              </w:rPr>
              <w:t>3.1</w:t>
            </w:r>
          </w:p>
        </w:tc>
        <w:tc>
          <w:tcPr>
            <w:tcW w:w="9639" w:type="dxa"/>
          </w:tcPr>
          <w:p w14:paraId="42D33F1A" w14:textId="343FCF69" w:rsidR="00317323" w:rsidRPr="00666A2A" w:rsidRDefault="00317323" w:rsidP="00A1617C">
            <w:pPr>
              <w:spacing w:after="120"/>
              <w:jc w:val="both"/>
              <w:rPr>
                <w:rFonts w:ascii="Arial" w:eastAsia="Times New Roman" w:hAnsi="Arial" w:cs="Arial"/>
                <w:bCs/>
                <w:sz w:val="23"/>
                <w:szCs w:val="23"/>
              </w:rPr>
            </w:pPr>
            <w:r w:rsidRPr="00666A2A">
              <w:rPr>
                <w:rFonts w:ascii="Arial" w:eastAsia="Times New Roman" w:hAnsi="Arial" w:cs="Arial"/>
                <w:bCs/>
                <w:sz w:val="23"/>
                <w:szCs w:val="23"/>
              </w:rPr>
              <w:t>The definition of 'master agreement' as being an ISDA restricts the applicability of 5.6(e) to ISDAs only, meaning that while a securities lending transaction may be a covered contract, the GMSLA governing it may not be. In line with our comments in the Annexure, the definition of 'master agreement' should rather cross-refer to the definition of 'master agreement' in section 35</w:t>
            </w:r>
            <w:proofErr w:type="gramStart"/>
            <w:r w:rsidRPr="00666A2A">
              <w:rPr>
                <w:rFonts w:ascii="Arial" w:eastAsia="Times New Roman" w:hAnsi="Arial" w:cs="Arial"/>
                <w:bCs/>
                <w:sz w:val="23"/>
                <w:szCs w:val="23"/>
              </w:rPr>
              <w:t>B(</w:t>
            </w:r>
            <w:proofErr w:type="gramEnd"/>
            <w:r w:rsidRPr="00666A2A">
              <w:rPr>
                <w:rFonts w:ascii="Arial" w:eastAsia="Times New Roman" w:hAnsi="Arial" w:cs="Arial"/>
                <w:bCs/>
                <w:sz w:val="23"/>
                <w:szCs w:val="23"/>
              </w:rPr>
              <w:t>2) of the Insolvency Act.</w:t>
            </w:r>
          </w:p>
        </w:tc>
        <w:tc>
          <w:tcPr>
            <w:tcW w:w="7229" w:type="dxa"/>
          </w:tcPr>
          <w:p w14:paraId="3D28A50F" w14:textId="55D862F4" w:rsidR="00317323" w:rsidRPr="00666A2A" w:rsidRDefault="00DD0C1D"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The comment is n</w:t>
            </w:r>
            <w:r w:rsidR="00D63D04" w:rsidRPr="00666A2A">
              <w:rPr>
                <w:rFonts w:ascii="Arial" w:eastAsia="Times New Roman" w:hAnsi="Arial" w:cs="Arial"/>
                <w:sz w:val="23"/>
                <w:szCs w:val="23"/>
                <w:lang w:val="en-GB"/>
              </w:rPr>
              <w:t>oted. The definition has been amended to reference the definition in section 35</w:t>
            </w:r>
            <w:proofErr w:type="gramStart"/>
            <w:r w:rsidR="00D63D04" w:rsidRPr="00666A2A">
              <w:rPr>
                <w:rFonts w:ascii="Arial" w:eastAsia="Times New Roman" w:hAnsi="Arial" w:cs="Arial"/>
                <w:sz w:val="23"/>
                <w:szCs w:val="23"/>
                <w:lang w:val="en-GB"/>
              </w:rPr>
              <w:t>B(</w:t>
            </w:r>
            <w:proofErr w:type="gramEnd"/>
            <w:r w:rsidR="00D63D04" w:rsidRPr="00666A2A">
              <w:rPr>
                <w:rFonts w:ascii="Arial" w:eastAsia="Times New Roman" w:hAnsi="Arial" w:cs="Arial"/>
                <w:sz w:val="23"/>
                <w:szCs w:val="23"/>
                <w:lang w:val="en-GB"/>
              </w:rPr>
              <w:t>2) of the Insolvency Act, 1936 (Act No. 24 of 1936).</w:t>
            </w:r>
          </w:p>
        </w:tc>
      </w:tr>
      <w:tr w:rsidR="008C4560" w:rsidRPr="00666A2A" w14:paraId="51F04B52" w14:textId="77777777" w:rsidTr="003C781F">
        <w:tc>
          <w:tcPr>
            <w:tcW w:w="562" w:type="dxa"/>
          </w:tcPr>
          <w:p w14:paraId="1BC6BBE7" w14:textId="77777777" w:rsidR="00317323" w:rsidRPr="00666A2A" w:rsidRDefault="0031732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32234172" w14:textId="277692AE" w:rsidR="00317323" w:rsidRPr="00666A2A" w:rsidRDefault="00317323" w:rsidP="00580B7B">
            <w:pPr>
              <w:spacing w:after="120"/>
              <w:rPr>
                <w:rFonts w:ascii="Arial" w:hAnsi="Arial" w:cs="Arial"/>
                <w:sz w:val="23"/>
                <w:szCs w:val="23"/>
              </w:rPr>
            </w:pPr>
            <w:r w:rsidRPr="00666A2A">
              <w:rPr>
                <w:rFonts w:ascii="Arial" w:hAnsi="Arial" w:cs="Arial"/>
                <w:sz w:val="23"/>
                <w:szCs w:val="23"/>
              </w:rPr>
              <w:t>SASLA</w:t>
            </w:r>
          </w:p>
        </w:tc>
        <w:tc>
          <w:tcPr>
            <w:tcW w:w="1418" w:type="dxa"/>
          </w:tcPr>
          <w:p w14:paraId="0D92728E" w14:textId="2C37D241" w:rsidR="00317323" w:rsidRPr="00666A2A" w:rsidRDefault="00F31BCB" w:rsidP="00580B7B">
            <w:pPr>
              <w:spacing w:after="120"/>
              <w:rPr>
                <w:rFonts w:ascii="Arial" w:hAnsi="Arial" w:cs="Arial"/>
                <w:sz w:val="23"/>
                <w:szCs w:val="23"/>
                <w:lang w:val="en-GB"/>
              </w:rPr>
            </w:pPr>
            <w:r w:rsidRPr="00666A2A">
              <w:rPr>
                <w:rFonts w:ascii="Arial" w:hAnsi="Arial" w:cs="Arial"/>
                <w:sz w:val="23"/>
                <w:szCs w:val="23"/>
                <w:lang w:val="en-GB"/>
              </w:rPr>
              <w:t>3.1</w:t>
            </w:r>
          </w:p>
        </w:tc>
        <w:tc>
          <w:tcPr>
            <w:tcW w:w="9639" w:type="dxa"/>
          </w:tcPr>
          <w:p w14:paraId="464177A5" w14:textId="39C3DD59" w:rsidR="00317323" w:rsidRPr="00666A2A" w:rsidRDefault="00317323" w:rsidP="00A1617C">
            <w:pPr>
              <w:spacing w:after="120"/>
              <w:jc w:val="both"/>
              <w:rPr>
                <w:rFonts w:ascii="Arial" w:eastAsia="Times New Roman" w:hAnsi="Arial" w:cs="Arial"/>
                <w:bCs/>
                <w:sz w:val="23"/>
                <w:szCs w:val="23"/>
              </w:rPr>
            </w:pPr>
            <w:r w:rsidRPr="00666A2A">
              <w:rPr>
                <w:rFonts w:ascii="Arial" w:eastAsia="Times New Roman" w:hAnsi="Arial" w:cs="Arial"/>
                <w:bCs/>
                <w:sz w:val="23"/>
                <w:szCs w:val="23"/>
              </w:rPr>
              <w:t>should the definition of 'pre-existing contract' not refer to contracts concluded prior to a designated institution's entry into resolution? This would avoid confusion as to whether the effect of the moratoria or the effect of the stays (which could be at a different time) is the cut-off time for the definition.</w:t>
            </w:r>
          </w:p>
        </w:tc>
        <w:tc>
          <w:tcPr>
            <w:tcW w:w="7229" w:type="dxa"/>
          </w:tcPr>
          <w:p w14:paraId="5897C869" w14:textId="263E2EE9" w:rsidR="00317323" w:rsidRPr="00666A2A" w:rsidRDefault="00D63D04"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The comment is noted. Upon mature reflection and analysis</w:t>
            </w:r>
            <w:r w:rsidR="00DD0C1D" w:rsidRPr="00666A2A">
              <w:rPr>
                <w:rFonts w:ascii="Arial" w:eastAsia="Times New Roman" w:hAnsi="Arial" w:cs="Arial"/>
                <w:sz w:val="23"/>
                <w:szCs w:val="23"/>
                <w:lang w:val="en-GB"/>
              </w:rPr>
              <w:t xml:space="preserve"> and to</w:t>
            </w:r>
            <w:r w:rsidRPr="00666A2A">
              <w:rPr>
                <w:rFonts w:ascii="Arial" w:eastAsia="Times New Roman" w:hAnsi="Arial" w:cs="Arial"/>
                <w:sz w:val="23"/>
                <w:szCs w:val="23"/>
                <w:lang w:val="en-GB"/>
              </w:rPr>
              <w:t xml:space="preserve"> effectively remedy the confusion arising from the use of this term/concept, a decision has been taken to delete the definition and all references to “pre-existing contracts” from the </w:t>
            </w:r>
            <w:r w:rsidR="00DD0C1D"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w:t>
            </w:r>
          </w:p>
        </w:tc>
      </w:tr>
      <w:tr w:rsidR="008C4560" w:rsidRPr="00666A2A" w14:paraId="7220BDAD" w14:textId="77777777" w:rsidTr="003C781F">
        <w:tc>
          <w:tcPr>
            <w:tcW w:w="562" w:type="dxa"/>
          </w:tcPr>
          <w:p w14:paraId="3A8D9F0D" w14:textId="77777777" w:rsidR="00317323" w:rsidRPr="00666A2A" w:rsidRDefault="0031732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61B8A51" w14:textId="3FC004E5" w:rsidR="00317323" w:rsidRPr="00666A2A" w:rsidRDefault="00317323" w:rsidP="00580B7B">
            <w:pPr>
              <w:spacing w:after="120"/>
              <w:rPr>
                <w:rFonts w:ascii="Arial" w:hAnsi="Arial" w:cs="Arial"/>
                <w:sz w:val="23"/>
                <w:szCs w:val="23"/>
              </w:rPr>
            </w:pPr>
            <w:r w:rsidRPr="00666A2A">
              <w:rPr>
                <w:rFonts w:ascii="Arial" w:hAnsi="Arial" w:cs="Arial"/>
                <w:sz w:val="23"/>
                <w:szCs w:val="23"/>
              </w:rPr>
              <w:t>SASLA</w:t>
            </w:r>
          </w:p>
        </w:tc>
        <w:tc>
          <w:tcPr>
            <w:tcW w:w="1418" w:type="dxa"/>
          </w:tcPr>
          <w:p w14:paraId="4996390A" w14:textId="74127AF7" w:rsidR="00317323" w:rsidRPr="00666A2A" w:rsidRDefault="00F31BCB" w:rsidP="00580B7B">
            <w:pPr>
              <w:spacing w:after="120"/>
              <w:rPr>
                <w:rFonts w:ascii="Arial" w:hAnsi="Arial" w:cs="Arial"/>
                <w:sz w:val="23"/>
                <w:szCs w:val="23"/>
                <w:lang w:val="en-GB"/>
              </w:rPr>
            </w:pPr>
            <w:r w:rsidRPr="00666A2A">
              <w:rPr>
                <w:rFonts w:ascii="Arial" w:hAnsi="Arial" w:cs="Arial"/>
                <w:sz w:val="23"/>
                <w:szCs w:val="23"/>
                <w:lang w:val="en-GB"/>
              </w:rPr>
              <w:t>3.1</w:t>
            </w:r>
          </w:p>
        </w:tc>
        <w:tc>
          <w:tcPr>
            <w:tcW w:w="9639" w:type="dxa"/>
          </w:tcPr>
          <w:p w14:paraId="231718E4" w14:textId="2B769167" w:rsidR="00317323" w:rsidRPr="00666A2A" w:rsidRDefault="00317323" w:rsidP="00A1617C">
            <w:pPr>
              <w:spacing w:after="120"/>
              <w:jc w:val="both"/>
              <w:rPr>
                <w:rFonts w:ascii="Arial" w:eastAsia="Times New Roman" w:hAnsi="Arial" w:cs="Arial"/>
                <w:bCs/>
                <w:sz w:val="23"/>
                <w:szCs w:val="23"/>
              </w:rPr>
            </w:pPr>
            <w:r w:rsidRPr="00666A2A">
              <w:rPr>
                <w:rFonts w:ascii="Arial" w:eastAsia="Times New Roman" w:hAnsi="Arial" w:cs="Arial"/>
                <w:bCs/>
                <w:sz w:val="23"/>
                <w:szCs w:val="23"/>
              </w:rPr>
              <w:t>For consistency the definition of 'SARB' should be deleted and the defined term 'Reserve Bank' from the Act should be used throughout the draft Standard.</w:t>
            </w:r>
          </w:p>
        </w:tc>
        <w:tc>
          <w:tcPr>
            <w:tcW w:w="7229" w:type="dxa"/>
          </w:tcPr>
          <w:p w14:paraId="482297A7" w14:textId="68EE042B" w:rsidR="00317323" w:rsidRPr="00666A2A" w:rsidRDefault="00041831"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The comment is n</w:t>
            </w:r>
            <w:r w:rsidR="00D63D04" w:rsidRPr="00666A2A">
              <w:rPr>
                <w:rFonts w:ascii="Arial" w:eastAsia="Times New Roman" w:hAnsi="Arial" w:cs="Arial"/>
                <w:sz w:val="23"/>
                <w:szCs w:val="23"/>
                <w:lang w:val="en-GB"/>
              </w:rPr>
              <w:t xml:space="preserve">oted. Where relevant, the </w:t>
            </w:r>
            <w:r w:rsidR="00DD0C1D" w:rsidRPr="00666A2A">
              <w:rPr>
                <w:rFonts w:ascii="Arial" w:eastAsia="Times New Roman" w:hAnsi="Arial" w:cs="Arial"/>
                <w:sz w:val="23"/>
                <w:szCs w:val="23"/>
                <w:lang w:val="en-GB"/>
              </w:rPr>
              <w:t>proposed</w:t>
            </w:r>
            <w:r w:rsidR="00D63D04" w:rsidRPr="00666A2A">
              <w:rPr>
                <w:rFonts w:ascii="Arial" w:eastAsia="Times New Roman" w:hAnsi="Arial" w:cs="Arial"/>
                <w:sz w:val="23"/>
                <w:szCs w:val="23"/>
                <w:lang w:val="en-GB"/>
              </w:rPr>
              <w:t xml:space="preserve"> Standard has been amended in line with the comment.</w:t>
            </w:r>
          </w:p>
        </w:tc>
      </w:tr>
      <w:tr w:rsidR="002F0DCD" w:rsidRPr="00666A2A" w14:paraId="41A9E497" w14:textId="77777777" w:rsidTr="003C781F">
        <w:tc>
          <w:tcPr>
            <w:tcW w:w="562" w:type="dxa"/>
          </w:tcPr>
          <w:p w14:paraId="1C1EC26D" w14:textId="7D828528" w:rsidR="007A4FEA" w:rsidRPr="00666A2A" w:rsidRDefault="007A4FEA"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31580AD" w14:textId="6173DF06" w:rsidR="007A4FEA" w:rsidRPr="00666A2A" w:rsidRDefault="007A4FEA" w:rsidP="00580B7B">
            <w:pPr>
              <w:spacing w:after="120"/>
              <w:rPr>
                <w:rFonts w:ascii="Arial" w:hAnsi="Arial" w:cs="Arial"/>
                <w:sz w:val="23"/>
                <w:szCs w:val="23"/>
                <w:lang w:val="en-GB"/>
              </w:rPr>
            </w:pPr>
            <w:r w:rsidRPr="00666A2A">
              <w:rPr>
                <w:rFonts w:ascii="Arial" w:hAnsi="Arial" w:cs="Arial"/>
                <w:sz w:val="23"/>
                <w:szCs w:val="23"/>
              </w:rPr>
              <w:t>SBG</w:t>
            </w:r>
          </w:p>
        </w:tc>
        <w:tc>
          <w:tcPr>
            <w:tcW w:w="1418" w:type="dxa"/>
          </w:tcPr>
          <w:p w14:paraId="64DD414A" w14:textId="2A24F841" w:rsidR="007A4FEA" w:rsidRPr="00666A2A" w:rsidRDefault="00F31BCB" w:rsidP="00580B7B">
            <w:pPr>
              <w:spacing w:after="120"/>
              <w:rPr>
                <w:rFonts w:ascii="Arial" w:hAnsi="Arial" w:cs="Arial"/>
                <w:sz w:val="23"/>
                <w:szCs w:val="23"/>
              </w:rPr>
            </w:pPr>
            <w:r w:rsidRPr="00666A2A">
              <w:rPr>
                <w:rFonts w:ascii="Arial" w:hAnsi="Arial" w:cs="Arial"/>
                <w:sz w:val="23"/>
                <w:szCs w:val="23"/>
              </w:rPr>
              <w:t>3.1</w:t>
            </w:r>
          </w:p>
        </w:tc>
        <w:tc>
          <w:tcPr>
            <w:tcW w:w="9639" w:type="dxa"/>
          </w:tcPr>
          <w:p w14:paraId="171E9C7C" w14:textId="63519ECB" w:rsidR="007A4FEA" w:rsidRPr="00666A2A" w:rsidRDefault="00317323"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0C660A68" w14:textId="7F097DCA" w:rsidR="007A4FEA" w:rsidRPr="00666A2A" w:rsidRDefault="00F56670"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F31BCB" w:rsidRPr="00666A2A" w14:paraId="7E5A381A" w14:textId="0A1C5DD9" w:rsidTr="00437B4A">
        <w:tc>
          <w:tcPr>
            <w:tcW w:w="20691" w:type="dxa"/>
            <w:gridSpan w:val="5"/>
            <w:shd w:val="clear" w:color="auto" w:fill="auto"/>
          </w:tcPr>
          <w:p w14:paraId="7D48F1A5" w14:textId="6767CF9F" w:rsidR="00F31BCB" w:rsidRPr="00666A2A" w:rsidRDefault="00F31BCB" w:rsidP="00A1617C">
            <w:pPr>
              <w:spacing w:before="120" w:after="120"/>
              <w:jc w:val="center"/>
              <w:rPr>
                <w:rFonts w:ascii="Arial" w:hAnsi="Arial" w:cs="Arial"/>
                <w:b/>
                <w:sz w:val="23"/>
                <w:szCs w:val="23"/>
                <w:lang w:val="en-GB"/>
              </w:rPr>
            </w:pPr>
            <w:r w:rsidRPr="00666A2A">
              <w:rPr>
                <w:rFonts w:ascii="Arial" w:hAnsi="Arial" w:cs="Arial"/>
                <w:b/>
                <w:sz w:val="23"/>
                <w:szCs w:val="23"/>
                <w:lang w:val="en-GB"/>
              </w:rPr>
              <w:t>Roles and responsibilities</w:t>
            </w:r>
          </w:p>
        </w:tc>
      </w:tr>
      <w:tr w:rsidR="002F0DCD" w:rsidRPr="00666A2A" w14:paraId="30959394" w14:textId="77777777" w:rsidTr="003C781F">
        <w:trPr>
          <w:trHeight w:val="217"/>
        </w:trPr>
        <w:tc>
          <w:tcPr>
            <w:tcW w:w="562" w:type="dxa"/>
          </w:tcPr>
          <w:p w14:paraId="1A3F8E7F" w14:textId="3DCD6B36" w:rsidR="002F0DCD" w:rsidRPr="00666A2A" w:rsidRDefault="002F0DCD" w:rsidP="0042169F">
            <w:pPr>
              <w:pStyle w:val="ListParagraph"/>
              <w:tabs>
                <w:tab w:val="left" w:pos="172"/>
              </w:tabs>
              <w:spacing w:after="120" w:line="276" w:lineRule="auto"/>
              <w:ind w:left="0"/>
              <w:rPr>
                <w:rFonts w:ascii="Arial" w:hAnsi="Arial" w:cs="Arial"/>
                <w:bCs/>
                <w:sz w:val="23"/>
                <w:szCs w:val="23"/>
                <w:lang w:val="en-GB"/>
              </w:rPr>
            </w:pPr>
          </w:p>
        </w:tc>
        <w:tc>
          <w:tcPr>
            <w:tcW w:w="1843" w:type="dxa"/>
          </w:tcPr>
          <w:p w14:paraId="134A4AF1" w14:textId="39E6F5C3" w:rsidR="002F0DCD" w:rsidRPr="00666A2A" w:rsidRDefault="002F0DCD" w:rsidP="00580B7B">
            <w:pPr>
              <w:spacing w:after="120"/>
              <w:rPr>
                <w:rFonts w:ascii="Arial" w:hAnsi="Arial" w:cs="Arial"/>
                <w:sz w:val="23"/>
                <w:szCs w:val="23"/>
                <w:lang w:val="en-GB"/>
              </w:rPr>
            </w:pPr>
          </w:p>
        </w:tc>
        <w:tc>
          <w:tcPr>
            <w:tcW w:w="1418" w:type="dxa"/>
          </w:tcPr>
          <w:p w14:paraId="2429B7BB" w14:textId="014E9BF7" w:rsidR="002F0DCD"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4</w:t>
            </w:r>
          </w:p>
        </w:tc>
        <w:tc>
          <w:tcPr>
            <w:tcW w:w="9639" w:type="dxa"/>
          </w:tcPr>
          <w:p w14:paraId="6F7A4519" w14:textId="549CDE1C" w:rsidR="002F0DCD" w:rsidRPr="00666A2A" w:rsidRDefault="007C79C6" w:rsidP="00580B7B">
            <w:pPr>
              <w:spacing w:after="120"/>
              <w:rPr>
                <w:rFonts w:ascii="Arial" w:eastAsia="Times New Roman" w:hAnsi="Arial" w:cs="Arial"/>
                <w:sz w:val="23"/>
                <w:szCs w:val="23"/>
                <w:lang w:val="en-GB"/>
              </w:rPr>
            </w:pPr>
            <w:r w:rsidRPr="00666A2A">
              <w:rPr>
                <w:rFonts w:ascii="Arial" w:hAnsi="Arial" w:cs="Arial"/>
                <w:sz w:val="23"/>
                <w:szCs w:val="23"/>
              </w:rPr>
              <w:t>NO COMMENTS</w:t>
            </w:r>
          </w:p>
        </w:tc>
        <w:tc>
          <w:tcPr>
            <w:tcW w:w="7229" w:type="dxa"/>
          </w:tcPr>
          <w:p w14:paraId="40B9BD07" w14:textId="4A2179E8" w:rsidR="002F0DCD" w:rsidRPr="00666A2A" w:rsidRDefault="002F0DCD" w:rsidP="00580B7B">
            <w:pPr>
              <w:spacing w:after="120"/>
              <w:jc w:val="both"/>
              <w:rPr>
                <w:rFonts w:ascii="Arial" w:eastAsia="Times New Roman" w:hAnsi="Arial" w:cs="Arial"/>
                <w:sz w:val="23"/>
                <w:szCs w:val="23"/>
                <w:lang w:val="en-GB"/>
              </w:rPr>
            </w:pPr>
          </w:p>
        </w:tc>
      </w:tr>
      <w:tr w:rsidR="002F0DCD" w:rsidRPr="00666A2A" w14:paraId="3582C9E6" w14:textId="444EFFBC" w:rsidTr="00437B4A">
        <w:trPr>
          <w:trHeight w:val="328"/>
        </w:trPr>
        <w:tc>
          <w:tcPr>
            <w:tcW w:w="20691" w:type="dxa"/>
            <w:gridSpan w:val="5"/>
            <w:shd w:val="clear" w:color="auto" w:fill="auto"/>
          </w:tcPr>
          <w:p w14:paraId="25B599A1" w14:textId="7A6F6E0C" w:rsidR="002F0DCD" w:rsidRPr="00666A2A" w:rsidRDefault="002F0DCD" w:rsidP="00A1617C">
            <w:pPr>
              <w:spacing w:before="120" w:after="120"/>
              <w:jc w:val="center"/>
              <w:rPr>
                <w:rFonts w:ascii="Arial" w:hAnsi="Arial" w:cs="Arial"/>
                <w:b/>
                <w:sz w:val="23"/>
                <w:szCs w:val="23"/>
                <w:lang w:val="en-GB"/>
              </w:rPr>
            </w:pPr>
            <w:r w:rsidRPr="00666A2A">
              <w:rPr>
                <w:rFonts w:ascii="Arial" w:hAnsi="Arial" w:cs="Arial"/>
                <w:b/>
                <w:sz w:val="23"/>
                <w:szCs w:val="23"/>
                <w:lang w:val="en-GB"/>
              </w:rPr>
              <w:t>Application</w:t>
            </w:r>
          </w:p>
        </w:tc>
      </w:tr>
      <w:tr w:rsidR="00D52FE6" w:rsidRPr="00666A2A" w14:paraId="52BC7542" w14:textId="77777777" w:rsidTr="003C781F">
        <w:tc>
          <w:tcPr>
            <w:tcW w:w="562" w:type="dxa"/>
          </w:tcPr>
          <w:p w14:paraId="60BDCA95" w14:textId="0BC49C18" w:rsidR="00D52FE6" w:rsidRPr="00666A2A" w:rsidRDefault="00D52FE6"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C11A65E" w14:textId="0C67D0D6" w:rsidR="00D52FE6" w:rsidRPr="00666A2A" w:rsidRDefault="00D52FE6" w:rsidP="00580B7B">
            <w:pPr>
              <w:spacing w:after="120"/>
              <w:rPr>
                <w:rFonts w:ascii="Arial" w:hAnsi="Arial" w:cs="Arial"/>
                <w:sz w:val="23"/>
                <w:szCs w:val="23"/>
                <w:lang w:val="en-GB"/>
              </w:rPr>
            </w:pPr>
            <w:r w:rsidRPr="00666A2A">
              <w:rPr>
                <w:rFonts w:ascii="Arial" w:hAnsi="Arial" w:cs="Arial"/>
                <w:sz w:val="23"/>
                <w:szCs w:val="23"/>
              </w:rPr>
              <w:t>BASA</w:t>
            </w:r>
          </w:p>
        </w:tc>
        <w:tc>
          <w:tcPr>
            <w:tcW w:w="1418" w:type="dxa"/>
          </w:tcPr>
          <w:p w14:paraId="7C286818" w14:textId="6F8235BD" w:rsidR="00D52FE6"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5.4.</w:t>
            </w:r>
          </w:p>
        </w:tc>
        <w:tc>
          <w:tcPr>
            <w:tcW w:w="9639" w:type="dxa"/>
          </w:tcPr>
          <w:p w14:paraId="352E5BFA" w14:textId="75158390" w:rsidR="00D52FE6" w:rsidRPr="00666A2A" w:rsidRDefault="00537A3B" w:rsidP="009E02A1">
            <w:pPr>
              <w:spacing w:after="120"/>
              <w:jc w:val="both"/>
              <w:rPr>
                <w:rFonts w:ascii="Arial" w:hAnsi="Arial" w:cs="Arial"/>
                <w:sz w:val="23"/>
                <w:szCs w:val="23"/>
                <w:lang w:val="en-GB"/>
              </w:rPr>
            </w:pPr>
            <w:r w:rsidRPr="00666A2A">
              <w:rPr>
                <w:rFonts w:ascii="Arial" w:hAnsi="Arial" w:cs="Arial"/>
                <w:sz w:val="23"/>
                <w:szCs w:val="23"/>
              </w:rPr>
              <w:t>Is the intention for the Standard to apply to the entire group, i.e., all covered contracts within all group entities or only entities that provide critical functions? This will be significantly more intensive where it applies across all group entities irrespective of its country of incorporation.</w:t>
            </w:r>
          </w:p>
        </w:tc>
        <w:tc>
          <w:tcPr>
            <w:tcW w:w="7229" w:type="dxa"/>
          </w:tcPr>
          <w:p w14:paraId="4E8B5804" w14:textId="580C5F47" w:rsidR="00D52FE6" w:rsidRPr="00666A2A" w:rsidRDefault="00BC4081"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rPr>
              <w:t xml:space="preserve">The proposed </w:t>
            </w:r>
            <w:r w:rsidR="00041831" w:rsidRPr="00666A2A">
              <w:rPr>
                <w:rFonts w:ascii="Arial" w:eastAsia="Times New Roman" w:hAnsi="Arial" w:cs="Arial"/>
                <w:sz w:val="23"/>
                <w:szCs w:val="23"/>
              </w:rPr>
              <w:t>S</w:t>
            </w:r>
            <w:r w:rsidRPr="00666A2A">
              <w:rPr>
                <w:rFonts w:ascii="Arial" w:eastAsia="Times New Roman" w:hAnsi="Arial" w:cs="Arial"/>
                <w:sz w:val="23"/>
                <w:szCs w:val="23"/>
              </w:rPr>
              <w:t>tandard applies to all designated institutions as defined. It is however worth noting the provisions under section 29</w:t>
            </w:r>
            <w:proofErr w:type="gramStart"/>
            <w:r w:rsidRPr="00666A2A">
              <w:rPr>
                <w:rFonts w:ascii="Arial" w:eastAsia="Times New Roman" w:hAnsi="Arial" w:cs="Arial"/>
                <w:sz w:val="23"/>
                <w:szCs w:val="23"/>
              </w:rPr>
              <w:t>A(</w:t>
            </w:r>
            <w:proofErr w:type="gramEnd"/>
            <w:r w:rsidRPr="00666A2A">
              <w:rPr>
                <w:rFonts w:ascii="Arial" w:eastAsia="Times New Roman" w:hAnsi="Arial" w:cs="Arial"/>
                <w:sz w:val="23"/>
                <w:szCs w:val="23"/>
              </w:rPr>
              <w:t>2) of the Act which empowers the Governor to determine that the person or body that is a designated institution by virtue of being a member of a financial conglomerate is not a designated institution.</w:t>
            </w:r>
            <w:r w:rsidR="00002F82" w:rsidRPr="00666A2A">
              <w:rPr>
                <w:rFonts w:ascii="Arial" w:eastAsia="Times New Roman" w:hAnsi="Arial" w:cs="Arial"/>
                <w:sz w:val="23"/>
                <w:szCs w:val="23"/>
              </w:rPr>
              <w:t xml:space="preserve"> Designated Institutions are advised to focus on the banking operations until further clarity in relation to resolution groups is provided by the Reserve Bank.</w:t>
            </w:r>
          </w:p>
        </w:tc>
      </w:tr>
      <w:tr w:rsidR="00537A3B" w:rsidRPr="00666A2A" w14:paraId="7EDD9A0F" w14:textId="77777777" w:rsidTr="003C781F">
        <w:tc>
          <w:tcPr>
            <w:tcW w:w="562" w:type="dxa"/>
          </w:tcPr>
          <w:p w14:paraId="621E2CE5" w14:textId="77777777" w:rsidR="00537A3B" w:rsidRPr="00666A2A" w:rsidRDefault="00537A3B"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3AAD3A4A" w14:textId="04432813" w:rsidR="00537A3B" w:rsidRPr="00666A2A" w:rsidRDefault="00537A3B" w:rsidP="00580B7B">
            <w:pPr>
              <w:spacing w:after="120"/>
              <w:rPr>
                <w:rFonts w:ascii="Arial" w:hAnsi="Arial" w:cs="Arial"/>
                <w:sz w:val="23"/>
                <w:szCs w:val="23"/>
              </w:rPr>
            </w:pPr>
            <w:r w:rsidRPr="00666A2A">
              <w:rPr>
                <w:rFonts w:ascii="Arial" w:hAnsi="Arial" w:cs="Arial"/>
                <w:sz w:val="23"/>
                <w:szCs w:val="23"/>
              </w:rPr>
              <w:t>BASA</w:t>
            </w:r>
          </w:p>
        </w:tc>
        <w:tc>
          <w:tcPr>
            <w:tcW w:w="1418" w:type="dxa"/>
          </w:tcPr>
          <w:p w14:paraId="22A1EE58" w14:textId="547DDC94" w:rsidR="00537A3B"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5.5.</w:t>
            </w:r>
          </w:p>
        </w:tc>
        <w:tc>
          <w:tcPr>
            <w:tcW w:w="9639" w:type="dxa"/>
          </w:tcPr>
          <w:p w14:paraId="3941680E" w14:textId="387481EC" w:rsidR="00537A3B" w:rsidRPr="00666A2A" w:rsidRDefault="00537A3B" w:rsidP="009E02A1">
            <w:pPr>
              <w:spacing w:after="120"/>
              <w:jc w:val="both"/>
              <w:rPr>
                <w:rFonts w:ascii="Arial" w:hAnsi="Arial" w:cs="Arial"/>
                <w:sz w:val="23"/>
                <w:szCs w:val="23"/>
                <w:lang w:val="en-GB"/>
              </w:rPr>
            </w:pPr>
            <w:r w:rsidRPr="00666A2A">
              <w:rPr>
                <w:rFonts w:ascii="Arial" w:hAnsi="Arial" w:cs="Arial"/>
                <w:sz w:val="23"/>
                <w:szCs w:val="23"/>
                <w:lang w:val="en-GB"/>
              </w:rPr>
              <w:t>Termination right is defined but not early termination right. Hence the suggestion that termination right is defined with reference to an event of default.</w:t>
            </w:r>
          </w:p>
        </w:tc>
        <w:tc>
          <w:tcPr>
            <w:tcW w:w="7229" w:type="dxa"/>
          </w:tcPr>
          <w:p w14:paraId="1D41C2DF" w14:textId="780A0CB5" w:rsidR="00537A3B" w:rsidRPr="00666A2A" w:rsidRDefault="00BC4081"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The Authorit</w:t>
            </w:r>
            <w:r w:rsidR="009F119E" w:rsidRPr="00666A2A">
              <w:rPr>
                <w:rFonts w:ascii="Arial" w:eastAsia="Times New Roman" w:hAnsi="Arial" w:cs="Arial"/>
                <w:sz w:val="23"/>
                <w:szCs w:val="23"/>
                <w:lang w:val="en-GB"/>
              </w:rPr>
              <w:t>ies</w:t>
            </w:r>
            <w:r w:rsidRPr="00666A2A">
              <w:rPr>
                <w:rFonts w:ascii="Arial" w:eastAsia="Times New Roman" w:hAnsi="Arial" w:cs="Arial"/>
                <w:sz w:val="23"/>
                <w:szCs w:val="23"/>
                <w:lang w:val="en-GB"/>
              </w:rPr>
              <w:t xml:space="preserve"> disagree with the proposal. The</w:t>
            </w:r>
            <w:r w:rsidR="008B0FA1" w:rsidRPr="00666A2A">
              <w:rPr>
                <w:rFonts w:ascii="Arial" w:eastAsia="Times New Roman" w:hAnsi="Arial" w:cs="Arial"/>
                <w:sz w:val="23"/>
                <w:szCs w:val="23"/>
                <w:lang w:val="en-GB"/>
              </w:rPr>
              <w:t xml:space="preserve"> </w:t>
            </w:r>
            <w:r w:rsidR="00041831" w:rsidRPr="00666A2A">
              <w:rPr>
                <w:rFonts w:ascii="Arial" w:eastAsia="Times New Roman" w:hAnsi="Arial" w:cs="Arial"/>
                <w:sz w:val="23"/>
                <w:szCs w:val="23"/>
                <w:lang w:val="en-GB"/>
              </w:rPr>
              <w:t>proposed</w:t>
            </w:r>
            <w:r w:rsidR="008B0FA1" w:rsidRPr="00666A2A">
              <w:rPr>
                <w:rFonts w:ascii="Arial" w:eastAsia="Times New Roman" w:hAnsi="Arial" w:cs="Arial"/>
                <w:sz w:val="23"/>
                <w:szCs w:val="23"/>
                <w:lang w:val="en-GB"/>
              </w:rPr>
              <w:t xml:space="preserve"> Standard is consistent with the </w:t>
            </w:r>
            <w:r w:rsidRPr="00666A2A">
              <w:rPr>
                <w:rFonts w:ascii="Arial" w:eastAsia="Times New Roman" w:hAnsi="Arial" w:cs="Arial"/>
                <w:sz w:val="23"/>
                <w:szCs w:val="23"/>
                <w:lang w:val="en-GB"/>
              </w:rPr>
              <w:t xml:space="preserve">primary legislation </w:t>
            </w:r>
            <w:r w:rsidR="008B0FA1" w:rsidRPr="00666A2A">
              <w:rPr>
                <w:rFonts w:ascii="Arial" w:eastAsia="Times New Roman" w:hAnsi="Arial" w:cs="Arial"/>
                <w:sz w:val="23"/>
                <w:szCs w:val="23"/>
                <w:lang w:val="en-GB"/>
              </w:rPr>
              <w:t xml:space="preserve">which </w:t>
            </w:r>
            <w:r w:rsidRPr="00666A2A">
              <w:rPr>
                <w:rFonts w:ascii="Arial" w:eastAsia="Times New Roman" w:hAnsi="Arial" w:cs="Arial"/>
                <w:sz w:val="23"/>
                <w:szCs w:val="23"/>
                <w:lang w:val="en-GB"/>
              </w:rPr>
              <w:t xml:space="preserve">only reference the placing or proposal to place a designated institution in resolution.  </w:t>
            </w:r>
          </w:p>
        </w:tc>
      </w:tr>
      <w:tr w:rsidR="00537A3B" w:rsidRPr="00666A2A" w14:paraId="76A6D453" w14:textId="77777777" w:rsidTr="003C781F">
        <w:tc>
          <w:tcPr>
            <w:tcW w:w="562" w:type="dxa"/>
          </w:tcPr>
          <w:p w14:paraId="58F135F4" w14:textId="77777777" w:rsidR="00537A3B" w:rsidRPr="00666A2A" w:rsidRDefault="00537A3B"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38AFC03C" w14:textId="5EF4BFC3" w:rsidR="00537A3B" w:rsidRPr="00666A2A" w:rsidRDefault="00537A3B" w:rsidP="00580B7B">
            <w:pPr>
              <w:spacing w:after="120"/>
              <w:rPr>
                <w:rFonts w:ascii="Arial" w:hAnsi="Arial" w:cs="Arial"/>
                <w:sz w:val="23"/>
                <w:szCs w:val="23"/>
              </w:rPr>
            </w:pPr>
            <w:r w:rsidRPr="00666A2A">
              <w:rPr>
                <w:rFonts w:ascii="Arial" w:hAnsi="Arial" w:cs="Arial"/>
                <w:sz w:val="23"/>
                <w:szCs w:val="23"/>
              </w:rPr>
              <w:t>BASA</w:t>
            </w:r>
          </w:p>
        </w:tc>
        <w:tc>
          <w:tcPr>
            <w:tcW w:w="1418" w:type="dxa"/>
          </w:tcPr>
          <w:p w14:paraId="496E9B88" w14:textId="5800CAB4" w:rsidR="00537A3B"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5.6.</w:t>
            </w:r>
          </w:p>
        </w:tc>
        <w:tc>
          <w:tcPr>
            <w:tcW w:w="9639" w:type="dxa"/>
          </w:tcPr>
          <w:p w14:paraId="3351932A" w14:textId="2356EDA4" w:rsidR="00537A3B" w:rsidRPr="00666A2A" w:rsidRDefault="00537A3B" w:rsidP="00A1617C">
            <w:pPr>
              <w:spacing w:after="120"/>
              <w:jc w:val="both"/>
              <w:rPr>
                <w:rFonts w:ascii="Arial" w:hAnsi="Arial" w:cs="Arial"/>
                <w:sz w:val="23"/>
                <w:szCs w:val="23"/>
                <w:lang w:val="en-GB"/>
              </w:rPr>
            </w:pPr>
            <w:r w:rsidRPr="00666A2A">
              <w:rPr>
                <w:rFonts w:ascii="Arial" w:hAnsi="Arial" w:cs="Arial"/>
                <w:sz w:val="23"/>
                <w:szCs w:val="23"/>
              </w:rPr>
              <w:t>Section 5.5 states that the Standard applies to “covered contracts governed under foreign law and with early termination rights. Section 5.6 states that, further to paragraph 5.4, the Standard applies to specific financial contracts.</w:t>
            </w:r>
          </w:p>
        </w:tc>
        <w:tc>
          <w:tcPr>
            <w:tcW w:w="7229" w:type="dxa"/>
          </w:tcPr>
          <w:p w14:paraId="5B87752B" w14:textId="75B3FF7D" w:rsidR="00537A3B" w:rsidRPr="00666A2A" w:rsidRDefault="008B0FA1"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Paragraph 5 of the </w:t>
            </w:r>
            <w:r w:rsidR="00041831"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has been revised to improve clarity and readability. The wording under 5.5 has been repositioned under the definitions part of the </w:t>
            </w:r>
            <w:r w:rsidR="00041831"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w:t>
            </w:r>
          </w:p>
        </w:tc>
      </w:tr>
      <w:tr w:rsidR="00D52FE6" w:rsidRPr="00666A2A" w14:paraId="014842ED" w14:textId="77777777" w:rsidTr="003C781F">
        <w:tc>
          <w:tcPr>
            <w:tcW w:w="562" w:type="dxa"/>
          </w:tcPr>
          <w:p w14:paraId="30F976C1" w14:textId="472ED1AF" w:rsidR="00D52FE6" w:rsidRPr="00666A2A" w:rsidRDefault="00D52FE6"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D4D95DD" w14:textId="05C364E2" w:rsidR="00D52FE6" w:rsidRPr="00666A2A" w:rsidRDefault="00D52FE6" w:rsidP="00580B7B">
            <w:pPr>
              <w:spacing w:after="120"/>
              <w:rPr>
                <w:rFonts w:ascii="Arial" w:hAnsi="Arial" w:cs="Arial"/>
                <w:sz w:val="23"/>
                <w:szCs w:val="23"/>
                <w:lang w:val="en-GB"/>
              </w:rPr>
            </w:pPr>
            <w:r w:rsidRPr="00666A2A">
              <w:rPr>
                <w:rFonts w:ascii="Arial" w:hAnsi="Arial" w:cs="Arial"/>
                <w:sz w:val="23"/>
                <w:szCs w:val="23"/>
              </w:rPr>
              <w:t>BOCA</w:t>
            </w:r>
          </w:p>
        </w:tc>
        <w:tc>
          <w:tcPr>
            <w:tcW w:w="1418" w:type="dxa"/>
          </w:tcPr>
          <w:p w14:paraId="547B31A0" w14:textId="227BE265" w:rsidR="00D52FE6" w:rsidRPr="00666A2A" w:rsidRDefault="00022B69" w:rsidP="00580B7B">
            <w:pPr>
              <w:spacing w:after="120"/>
              <w:rPr>
                <w:rFonts w:ascii="Arial" w:hAnsi="Arial" w:cs="Arial"/>
                <w:sz w:val="23"/>
                <w:szCs w:val="23"/>
                <w:lang w:val="en-GB"/>
              </w:rPr>
            </w:pPr>
            <w:r w:rsidRPr="00666A2A">
              <w:rPr>
                <w:rFonts w:ascii="Arial" w:hAnsi="Arial" w:cs="Arial"/>
                <w:sz w:val="23"/>
                <w:szCs w:val="23"/>
                <w:lang w:val="en-GB"/>
              </w:rPr>
              <w:t>5.</w:t>
            </w:r>
          </w:p>
        </w:tc>
        <w:tc>
          <w:tcPr>
            <w:tcW w:w="9639" w:type="dxa"/>
          </w:tcPr>
          <w:p w14:paraId="709CFF4F" w14:textId="1662154C" w:rsidR="00D52FE6" w:rsidRPr="00666A2A" w:rsidRDefault="00022B69"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 comment.</w:t>
            </w:r>
          </w:p>
        </w:tc>
        <w:tc>
          <w:tcPr>
            <w:tcW w:w="7229" w:type="dxa"/>
          </w:tcPr>
          <w:p w14:paraId="1000945C" w14:textId="09762809" w:rsidR="00D52FE6" w:rsidRPr="00666A2A" w:rsidRDefault="003C781F"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52FE6" w:rsidRPr="00666A2A" w14:paraId="4DF62E45" w14:textId="77777777" w:rsidTr="003C781F">
        <w:tc>
          <w:tcPr>
            <w:tcW w:w="562" w:type="dxa"/>
          </w:tcPr>
          <w:p w14:paraId="4C3C25BC" w14:textId="0E02E041" w:rsidR="00D52FE6" w:rsidRPr="00666A2A" w:rsidRDefault="00D52FE6"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3A807A82" w14:textId="3401DBFD" w:rsidR="00D52FE6" w:rsidRPr="00666A2A" w:rsidRDefault="00D52FE6" w:rsidP="00580B7B">
            <w:pPr>
              <w:spacing w:after="120"/>
              <w:rPr>
                <w:rFonts w:ascii="Arial" w:hAnsi="Arial" w:cs="Arial"/>
                <w:sz w:val="23"/>
                <w:szCs w:val="23"/>
                <w:lang w:val="en-GB"/>
              </w:rPr>
            </w:pPr>
            <w:r w:rsidRPr="00666A2A">
              <w:rPr>
                <w:rFonts w:ascii="Arial" w:hAnsi="Arial" w:cs="Arial"/>
                <w:sz w:val="23"/>
                <w:szCs w:val="23"/>
              </w:rPr>
              <w:t>FSCA</w:t>
            </w:r>
          </w:p>
        </w:tc>
        <w:tc>
          <w:tcPr>
            <w:tcW w:w="1418" w:type="dxa"/>
          </w:tcPr>
          <w:p w14:paraId="6DE8B107" w14:textId="3683FEA7" w:rsidR="00D52FE6"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5.3.</w:t>
            </w:r>
          </w:p>
        </w:tc>
        <w:tc>
          <w:tcPr>
            <w:tcW w:w="9639" w:type="dxa"/>
          </w:tcPr>
          <w:p w14:paraId="58F2D88B" w14:textId="39CC606D" w:rsidR="00D52FE6" w:rsidRPr="00666A2A" w:rsidRDefault="00537A3B" w:rsidP="00A1617C">
            <w:pPr>
              <w:spacing w:after="120"/>
              <w:jc w:val="both"/>
              <w:rPr>
                <w:rFonts w:ascii="Arial" w:eastAsia="Times New Roman" w:hAnsi="Arial" w:cs="Arial"/>
                <w:sz w:val="23"/>
                <w:szCs w:val="23"/>
                <w:lang w:val="en-GB"/>
              </w:rPr>
            </w:pPr>
            <w:r w:rsidRPr="00666A2A">
              <w:rPr>
                <w:rFonts w:ascii="Arial" w:eastAsia="Times New Roman" w:hAnsi="Arial" w:cs="Arial"/>
                <w:bCs/>
                <w:sz w:val="23"/>
                <w:szCs w:val="23"/>
              </w:rPr>
              <w:t xml:space="preserve">We note the proposed exclusions, but there is no information in the </w:t>
            </w:r>
            <w:proofErr w:type="gramStart"/>
            <w:r w:rsidRPr="00666A2A">
              <w:rPr>
                <w:rFonts w:ascii="Arial" w:eastAsia="Times New Roman" w:hAnsi="Arial" w:cs="Arial"/>
                <w:bCs/>
                <w:sz w:val="23"/>
                <w:szCs w:val="23"/>
              </w:rPr>
              <w:t>e.g.</w:t>
            </w:r>
            <w:proofErr w:type="gramEnd"/>
            <w:r w:rsidRPr="00666A2A">
              <w:rPr>
                <w:rFonts w:ascii="Arial" w:eastAsia="Times New Roman" w:hAnsi="Arial" w:cs="Arial"/>
                <w:bCs/>
                <w:sz w:val="23"/>
                <w:szCs w:val="23"/>
              </w:rPr>
              <w:t xml:space="preserve"> Statement of Need, Impact etc (</w:t>
            </w:r>
            <w:proofErr w:type="spellStart"/>
            <w:r w:rsidRPr="00666A2A">
              <w:rPr>
                <w:rFonts w:ascii="Arial" w:eastAsia="Times New Roman" w:hAnsi="Arial" w:cs="Arial"/>
                <w:bCs/>
                <w:sz w:val="23"/>
                <w:szCs w:val="23"/>
              </w:rPr>
              <w:t>SoN</w:t>
            </w:r>
            <w:proofErr w:type="spellEnd"/>
            <w:r w:rsidRPr="00666A2A">
              <w:rPr>
                <w:rFonts w:ascii="Arial" w:eastAsia="Times New Roman" w:hAnsi="Arial" w:cs="Arial"/>
                <w:bCs/>
                <w:sz w:val="23"/>
                <w:szCs w:val="23"/>
              </w:rPr>
              <w:t xml:space="preserve">) explaining why these exclusions are necessary (e.g. in relation to market infrastructures and payment systems). We strongly recommend that the </w:t>
            </w:r>
            <w:proofErr w:type="spellStart"/>
            <w:proofErr w:type="gramStart"/>
            <w:r w:rsidRPr="00666A2A">
              <w:rPr>
                <w:rFonts w:ascii="Arial" w:eastAsia="Times New Roman" w:hAnsi="Arial" w:cs="Arial"/>
                <w:bCs/>
                <w:sz w:val="23"/>
                <w:szCs w:val="23"/>
              </w:rPr>
              <w:t>SoN</w:t>
            </w:r>
            <w:proofErr w:type="spellEnd"/>
            <w:proofErr w:type="gramEnd"/>
            <w:r w:rsidRPr="00666A2A">
              <w:rPr>
                <w:rFonts w:ascii="Arial" w:eastAsia="Times New Roman" w:hAnsi="Arial" w:cs="Arial"/>
                <w:bCs/>
                <w:sz w:val="23"/>
                <w:szCs w:val="23"/>
              </w:rPr>
              <w:t xml:space="preserve"> expands on the proposed scope, and specifically the exclusions.</w:t>
            </w:r>
          </w:p>
        </w:tc>
        <w:tc>
          <w:tcPr>
            <w:tcW w:w="7229" w:type="dxa"/>
          </w:tcPr>
          <w:p w14:paraId="19362A01" w14:textId="46DC306E" w:rsidR="00D52FE6" w:rsidRPr="00666A2A" w:rsidRDefault="002F6743"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w:t>
            </w:r>
            <w:r w:rsidR="008A65F0" w:rsidRPr="00666A2A">
              <w:rPr>
                <w:rFonts w:ascii="Arial" w:eastAsia="Times New Roman" w:hAnsi="Arial" w:cs="Arial"/>
                <w:sz w:val="23"/>
                <w:szCs w:val="23"/>
                <w:lang w:val="en-GB"/>
              </w:rPr>
              <w:t>the Statement</w:t>
            </w:r>
            <w:r w:rsidR="003B1ECA" w:rsidRPr="00666A2A">
              <w:rPr>
                <w:rFonts w:ascii="Arial" w:eastAsia="Times New Roman" w:hAnsi="Arial" w:cs="Arial"/>
                <w:sz w:val="23"/>
                <w:szCs w:val="23"/>
                <w:lang w:val="en-GB"/>
              </w:rPr>
              <w:t xml:space="preserve"> explaining the</w:t>
            </w:r>
            <w:r w:rsidR="008A65F0" w:rsidRPr="00666A2A">
              <w:rPr>
                <w:rFonts w:ascii="Arial" w:eastAsia="Times New Roman" w:hAnsi="Arial" w:cs="Arial"/>
                <w:sz w:val="23"/>
                <w:szCs w:val="23"/>
                <w:lang w:val="en-GB"/>
              </w:rPr>
              <w:t xml:space="preserve"> </w:t>
            </w:r>
            <w:r w:rsidR="00041831" w:rsidRPr="00666A2A">
              <w:rPr>
                <w:rFonts w:ascii="Arial" w:eastAsia="Times New Roman" w:hAnsi="Arial" w:cs="Arial"/>
                <w:sz w:val="23"/>
                <w:szCs w:val="23"/>
                <w:lang w:val="en-GB"/>
              </w:rPr>
              <w:t>n</w:t>
            </w:r>
            <w:r w:rsidR="008A65F0" w:rsidRPr="00666A2A">
              <w:rPr>
                <w:rFonts w:ascii="Arial" w:eastAsia="Times New Roman" w:hAnsi="Arial" w:cs="Arial"/>
                <w:sz w:val="23"/>
                <w:szCs w:val="23"/>
                <w:lang w:val="en-GB"/>
              </w:rPr>
              <w:t>eed</w:t>
            </w:r>
            <w:r w:rsidR="00041831" w:rsidRPr="00666A2A">
              <w:rPr>
                <w:rFonts w:ascii="Arial" w:eastAsia="Times New Roman" w:hAnsi="Arial" w:cs="Arial"/>
                <w:sz w:val="23"/>
                <w:szCs w:val="23"/>
                <w:lang w:val="en-GB"/>
              </w:rPr>
              <w:t xml:space="preserve"> for,</w:t>
            </w:r>
            <w:r w:rsidR="003B1ECA" w:rsidRPr="00666A2A">
              <w:rPr>
                <w:rFonts w:ascii="Arial" w:eastAsia="Times New Roman" w:hAnsi="Arial" w:cs="Arial"/>
                <w:sz w:val="23"/>
                <w:szCs w:val="23"/>
                <w:lang w:val="en-GB"/>
              </w:rPr>
              <w:t xml:space="preserve"> the intended operation of and the expected impact of the proposed Standard</w:t>
            </w:r>
            <w:r w:rsidR="0036768F" w:rsidRPr="00666A2A">
              <w:rPr>
                <w:rFonts w:ascii="Arial" w:eastAsia="Times New Roman" w:hAnsi="Arial" w:cs="Arial"/>
                <w:sz w:val="23"/>
                <w:szCs w:val="23"/>
                <w:lang w:val="en-GB"/>
              </w:rPr>
              <w:t xml:space="preserve"> (the Statement)</w:t>
            </w:r>
            <w:r w:rsidR="00041831" w:rsidRPr="00666A2A">
              <w:rPr>
                <w:rFonts w:ascii="Arial" w:eastAsia="Times New Roman" w:hAnsi="Arial" w:cs="Arial"/>
                <w:sz w:val="23"/>
                <w:szCs w:val="23"/>
                <w:lang w:val="en-GB"/>
              </w:rPr>
              <w:t xml:space="preserve"> </w:t>
            </w:r>
            <w:r w:rsidR="008A65F0" w:rsidRPr="00666A2A">
              <w:rPr>
                <w:rFonts w:ascii="Arial" w:eastAsia="Times New Roman" w:hAnsi="Arial" w:cs="Arial"/>
                <w:sz w:val="23"/>
                <w:szCs w:val="23"/>
                <w:lang w:val="en-GB"/>
              </w:rPr>
              <w:t xml:space="preserve">has been revised to </w:t>
            </w:r>
            <w:r w:rsidR="00076162" w:rsidRPr="00666A2A">
              <w:rPr>
                <w:rFonts w:ascii="Arial" w:eastAsia="Times New Roman" w:hAnsi="Arial" w:cs="Arial"/>
                <w:sz w:val="23"/>
                <w:szCs w:val="23"/>
                <w:lang w:val="en-GB"/>
              </w:rPr>
              <w:t xml:space="preserve">expand and refine the relevant paragraph in line with the comment. </w:t>
            </w:r>
          </w:p>
        </w:tc>
      </w:tr>
      <w:tr w:rsidR="00537A3B" w:rsidRPr="00666A2A" w14:paraId="0EF9DAE5" w14:textId="77777777" w:rsidTr="003C781F">
        <w:tc>
          <w:tcPr>
            <w:tcW w:w="562" w:type="dxa"/>
          </w:tcPr>
          <w:p w14:paraId="3CABFA19" w14:textId="77777777" w:rsidR="00537A3B" w:rsidRPr="00666A2A" w:rsidRDefault="00537A3B"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2CA670EB" w14:textId="0C7CA4B6" w:rsidR="00537A3B" w:rsidRPr="00666A2A" w:rsidRDefault="00537A3B" w:rsidP="00580B7B">
            <w:pPr>
              <w:spacing w:after="120"/>
              <w:rPr>
                <w:rFonts w:ascii="Arial" w:hAnsi="Arial" w:cs="Arial"/>
                <w:sz w:val="23"/>
                <w:szCs w:val="23"/>
              </w:rPr>
            </w:pPr>
            <w:r w:rsidRPr="00666A2A">
              <w:rPr>
                <w:rFonts w:ascii="Arial" w:hAnsi="Arial" w:cs="Arial"/>
                <w:sz w:val="23"/>
                <w:szCs w:val="23"/>
              </w:rPr>
              <w:t>FSCA</w:t>
            </w:r>
          </w:p>
        </w:tc>
        <w:tc>
          <w:tcPr>
            <w:tcW w:w="1418" w:type="dxa"/>
          </w:tcPr>
          <w:p w14:paraId="0846A710" w14:textId="336EA671" w:rsidR="00537A3B"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5.5.</w:t>
            </w:r>
          </w:p>
        </w:tc>
        <w:tc>
          <w:tcPr>
            <w:tcW w:w="9639" w:type="dxa"/>
          </w:tcPr>
          <w:p w14:paraId="475EBF91" w14:textId="77777777" w:rsidR="00537A3B" w:rsidRPr="00666A2A" w:rsidRDefault="00537A3B" w:rsidP="00A1617C">
            <w:pPr>
              <w:spacing w:after="120"/>
              <w:jc w:val="both"/>
              <w:rPr>
                <w:rFonts w:ascii="Arial" w:eastAsia="Times New Roman" w:hAnsi="Arial" w:cs="Arial"/>
                <w:bCs/>
                <w:sz w:val="23"/>
                <w:szCs w:val="23"/>
              </w:rPr>
            </w:pPr>
            <w:r w:rsidRPr="00666A2A">
              <w:rPr>
                <w:rFonts w:ascii="Arial" w:eastAsia="Times New Roman" w:hAnsi="Arial" w:cs="Arial"/>
                <w:bCs/>
                <w:sz w:val="23"/>
                <w:szCs w:val="23"/>
              </w:rPr>
              <w:t>It is recommended that the part reflected in the extract below is rather moved to the definition paragraph (paragraph 3.1) and replace the proposed definition of “covered contract”, which currently merely cross-reference to the extract below. We submit that this will be a ‘cleaner’ approach.</w:t>
            </w:r>
          </w:p>
          <w:p w14:paraId="18E7FE30" w14:textId="77777777" w:rsidR="00537A3B" w:rsidRPr="00666A2A" w:rsidRDefault="00537A3B" w:rsidP="00A1617C">
            <w:pPr>
              <w:spacing w:after="120"/>
              <w:jc w:val="both"/>
              <w:rPr>
                <w:rFonts w:ascii="Arial" w:eastAsia="Times New Roman" w:hAnsi="Arial" w:cs="Arial"/>
                <w:bCs/>
                <w:sz w:val="23"/>
                <w:szCs w:val="23"/>
              </w:rPr>
            </w:pPr>
            <w:r w:rsidRPr="00666A2A">
              <w:rPr>
                <w:rFonts w:ascii="Arial" w:eastAsia="Times New Roman" w:hAnsi="Arial" w:cs="Arial"/>
                <w:bCs/>
                <w:sz w:val="23"/>
                <w:szCs w:val="23"/>
              </w:rPr>
              <w:t xml:space="preserve">“For purposes of this Standard, ‘covered contracts’ mean contracts that: </w:t>
            </w:r>
          </w:p>
          <w:p w14:paraId="170F291E" w14:textId="77C11C44" w:rsidR="00537A3B" w:rsidRPr="00666A2A" w:rsidRDefault="00537A3B" w:rsidP="00A1617C">
            <w:pPr>
              <w:pStyle w:val="ListParagraph"/>
              <w:numPr>
                <w:ilvl w:val="0"/>
                <w:numId w:val="20"/>
              </w:numPr>
              <w:spacing w:after="120" w:line="276" w:lineRule="auto"/>
              <w:jc w:val="both"/>
              <w:rPr>
                <w:rFonts w:ascii="Arial" w:eastAsia="Times New Roman" w:hAnsi="Arial" w:cs="Arial"/>
                <w:bCs/>
                <w:sz w:val="23"/>
                <w:szCs w:val="23"/>
              </w:rPr>
            </w:pPr>
            <w:r w:rsidRPr="00666A2A">
              <w:rPr>
                <w:rFonts w:ascii="Arial" w:eastAsia="Times New Roman" w:hAnsi="Arial" w:cs="Arial"/>
                <w:bCs/>
                <w:sz w:val="23"/>
                <w:szCs w:val="23"/>
              </w:rPr>
              <w:t xml:space="preserve">are governed under foreign law; and </w:t>
            </w:r>
          </w:p>
          <w:p w14:paraId="63681339" w14:textId="3ECC9146" w:rsidR="00537A3B" w:rsidRPr="00666A2A" w:rsidRDefault="00537A3B" w:rsidP="00A1617C">
            <w:pPr>
              <w:pStyle w:val="ListParagraph"/>
              <w:numPr>
                <w:ilvl w:val="0"/>
                <w:numId w:val="20"/>
              </w:numPr>
              <w:spacing w:after="120" w:line="276" w:lineRule="auto"/>
              <w:jc w:val="both"/>
              <w:rPr>
                <w:rFonts w:ascii="Arial" w:eastAsia="Times New Roman" w:hAnsi="Arial" w:cs="Arial"/>
                <w:bCs/>
                <w:sz w:val="23"/>
                <w:szCs w:val="23"/>
              </w:rPr>
            </w:pPr>
            <w:r w:rsidRPr="00666A2A">
              <w:rPr>
                <w:rFonts w:ascii="Arial" w:eastAsia="Times New Roman" w:hAnsi="Arial" w:cs="Arial"/>
                <w:bCs/>
                <w:sz w:val="23"/>
                <w:szCs w:val="23"/>
              </w:rPr>
              <w:t>contain provisions for early termination rights.”</w:t>
            </w:r>
          </w:p>
          <w:p w14:paraId="1983D36D" w14:textId="2AB65D4E" w:rsidR="00537A3B" w:rsidRPr="00666A2A" w:rsidRDefault="00537A3B" w:rsidP="00A1617C">
            <w:pPr>
              <w:spacing w:after="120"/>
              <w:jc w:val="both"/>
              <w:rPr>
                <w:rFonts w:ascii="Arial" w:eastAsia="Times New Roman" w:hAnsi="Arial" w:cs="Arial"/>
                <w:bCs/>
                <w:sz w:val="23"/>
                <w:szCs w:val="23"/>
              </w:rPr>
            </w:pPr>
            <w:r w:rsidRPr="00666A2A">
              <w:rPr>
                <w:rFonts w:ascii="Arial" w:eastAsia="Times New Roman" w:hAnsi="Arial" w:cs="Arial"/>
                <w:bCs/>
                <w:sz w:val="23"/>
                <w:szCs w:val="23"/>
              </w:rPr>
              <w:t>Further, is this definition not perhaps too wide?</w:t>
            </w:r>
          </w:p>
        </w:tc>
        <w:tc>
          <w:tcPr>
            <w:tcW w:w="7229" w:type="dxa"/>
          </w:tcPr>
          <w:p w14:paraId="7152C26E" w14:textId="56963882" w:rsidR="00537A3B" w:rsidRPr="00666A2A" w:rsidRDefault="009230BA"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The </w:t>
            </w:r>
            <w:r w:rsidR="0036768F"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has been amended in line with the comment. Regarding the possibility of the definition being too wide, the word “specified” has been inserted in the definition to limit the scope of thereof. </w:t>
            </w:r>
          </w:p>
        </w:tc>
      </w:tr>
      <w:tr w:rsidR="00537A3B" w:rsidRPr="00666A2A" w14:paraId="146ECB15" w14:textId="77777777" w:rsidTr="003C781F">
        <w:tc>
          <w:tcPr>
            <w:tcW w:w="562" w:type="dxa"/>
          </w:tcPr>
          <w:p w14:paraId="07CE6454" w14:textId="77777777" w:rsidR="00537A3B" w:rsidRPr="00666A2A" w:rsidRDefault="00537A3B"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13EBAD6E" w14:textId="65A507CD" w:rsidR="00537A3B" w:rsidRPr="00666A2A" w:rsidRDefault="00537A3B" w:rsidP="00580B7B">
            <w:pPr>
              <w:spacing w:after="120"/>
              <w:rPr>
                <w:rFonts w:ascii="Arial" w:hAnsi="Arial" w:cs="Arial"/>
                <w:sz w:val="23"/>
                <w:szCs w:val="23"/>
              </w:rPr>
            </w:pPr>
            <w:r w:rsidRPr="00666A2A">
              <w:rPr>
                <w:rFonts w:ascii="Arial" w:hAnsi="Arial" w:cs="Arial"/>
                <w:sz w:val="23"/>
                <w:szCs w:val="23"/>
              </w:rPr>
              <w:t>FSCA</w:t>
            </w:r>
          </w:p>
        </w:tc>
        <w:tc>
          <w:tcPr>
            <w:tcW w:w="1418" w:type="dxa"/>
          </w:tcPr>
          <w:p w14:paraId="5369104E" w14:textId="22D1ED59" w:rsidR="00537A3B"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5.6.</w:t>
            </w:r>
          </w:p>
        </w:tc>
        <w:tc>
          <w:tcPr>
            <w:tcW w:w="9639" w:type="dxa"/>
          </w:tcPr>
          <w:p w14:paraId="00A354C9" w14:textId="7971A361" w:rsidR="00537A3B" w:rsidRPr="00666A2A" w:rsidRDefault="00537A3B" w:rsidP="00A1617C">
            <w:pPr>
              <w:spacing w:after="120"/>
              <w:jc w:val="both"/>
              <w:rPr>
                <w:rFonts w:ascii="Arial" w:eastAsia="Times New Roman" w:hAnsi="Arial" w:cs="Arial"/>
                <w:bCs/>
                <w:sz w:val="23"/>
                <w:szCs w:val="23"/>
              </w:rPr>
            </w:pPr>
            <w:r w:rsidRPr="00666A2A">
              <w:rPr>
                <w:rFonts w:ascii="Arial" w:eastAsia="Times New Roman" w:hAnsi="Arial" w:cs="Arial"/>
                <w:bCs/>
                <w:sz w:val="23"/>
                <w:szCs w:val="23"/>
              </w:rPr>
              <w:t>See our comment in respect of the definition of “pre-existing contracts”. It is unclear whether the existing contracts already make provision for these requirements. If they do not, there will need to be a transition period for the insurers to recontract accordingly.</w:t>
            </w:r>
          </w:p>
        </w:tc>
        <w:tc>
          <w:tcPr>
            <w:tcW w:w="7229" w:type="dxa"/>
          </w:tcPr>
          <w:p w14:paraId="14F84B55" w14:textId="00CBFED0" w:rsidR="00537A3B" w:rsidRPr="00666A2A" w:rsidRDefault="009230BA"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The comment is noted. Upon mature reflection and analysis</w:t>
            </w:r>
            <w:r w:rsidR="0036768F" w:rsidRPr="00666A2A">
              <w:rPr>
                <w:rFonts w:ascii="Arial" w:eastAsia="Times New Roman" w:hAnsi="Arial" w:cs="Arial"/>
                <w:sz w:val="23"/>
                <w:szCs w:val="23"/>
                <w:lang w:val="en-GB"/>
              </w:rPr>
              <w:t xml:space="preserve"> and to </w:t>
            </w:r>
            <w:r w:rsidRPr="00666A2A">
              <w:rPr>
                <w:rFonts w:ascii="Arial" w:eastAsia="Times New Roman" w:hAnsi="Arial" w:cs="Arial"/>
                <w:sz w:val="23"/>
                <w:szCs w:val="23"/>
                <w:lang w:val="en-GB"/>
              </w:rPr>
              <w:t xml:space="preserve">effectively remedy the confusion arising from the use of this term/concept, a decision has been taken to delete the definition and all references to “pre-existing contracts” from the </w:t>
            </w:r>
            <w:r w:rsidR="0036768F"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w:t>
            </w:r>
          </w:p>
        </w:tc>
      </w:tr>
      <w:tr w:rsidR="00537A3B" w:rsidRPr="00666A2A" w14:paraId="2A0B07EB" w14:textId="77777777" w:rsidTr="003C781F">
        <w:tc>
          <w:tcPr>
            <w:tcW w:w="562" w:type="dxa"/>
          </w:tcPr>
          <w:p w14:paraId="30B4F22B" w14:textId="77777777" w:rsidR="00537A3B" w:rsidRPr="00666A2A" w:rsidRDefault="00537A3B"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28BB29D9" w14:textId="2A96F89F" w:rsidR="00537A3B" w:rsidRPr="00666A2A" w:rsidRDefault="00537A3B" w:rsidP="00580B7B">
            <w:pPr>
              <w:spacing w:after="120"/>
              <w:rPr>
                <w:rFonts w:ascii="Arial" w:hAnsi="Arial" w:cs="Arial"/>
                <w:sz w:val="23"/>
                <w:szCs w:val="23"/>
              </w:rPr>
            </w:pPr>
            <w:r w:rsidRPr="00666A2A">
              <w:rPr>
                <w:rFonts w:ascii="Arial" w:hAnsi="Arial" w:cs="Arial"/>
                <w:sz w:val="23"/>
                <w:szCs w:val="23"/>
              </w:rPr>
              <w:t>FSCA</w:t>
            </w:r>
          </w:p>
        </w:tc>
        <w:tc>
          <w:tcPr>
            <w:tcW w:w="1418" w:type="dxa"/>
          </w:tcPr>
          <w:p w14:paraId="2F413596" w14:textId="7FC5AED9" w:rsidR="00537A3B"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5.7. – 5.9.</w:t>
            </w:r>
          </w:p>
        </w:tc>
        <w:tc>
          <w:tcPr>
            <w:tcW w:w="9639" w:type="dxa"/>
          </w:tcPr>
          <w:p w14:paraId="73B18777" w14:textId="0573000C" w:rsidR="00537A3B" w:rsidRPr="00666A2A" w:rsidRDefault="00537A3B" w:rsidP="00A1617C">
            <w:pPr>
              <w:spacing w:after="120"/>
              <w:jc w:val="both"/>
              <w:rPr>
                <w:rFonts w:ascii="Arial" w:eastAsia="Times New Roman" w:hAnsi="Arial" w:cs="Arial"/>
                <w:bCs/>
                <w:sz w:val="23"/>
                <w:szCs w:val="23"/>
              </w:rPr>
            </w:pPr>
            <w:r w:rsidRPr="00666A2A">
              <w:rPr>
                <w:rFonts w:ascii="Arial" w:eastAsia="Times New Roman" w:hAnsi="Arial" w:cs="Arial"/>
                <w:bCs/>
                <w:sz w:val="23"/>
                <w:szCs w:val="23"/>
              </w:rPr>
              <w:t>Paragraphs 5.7 to 5.9 does not seem to impose any legal obligations (which is what subordinate legislation is supposed to do). Paragraph 5.7 merely restates the law (FSR Act) and paragraphs 5.8 and 5.9 seems to give guidance. We submit that it would therefore be more workable to deal with paragraphs 5.7 to 5.9 in guidance, the statement of need or a supporting communication, and not in subordinate legislation which is intended to impose legal requirements. We note that the Statement of Need also has provisions touching on this (starting from paragraph 3.3). Therefore, the best approach might be to move these paragraphs to that part of the Statement of Need.</w:t>
            </w:r>
          </w:p>
        </w:tc>
        <w:tc>
          <w:tcPr>
            <w:tcW w:w="7229" w:type="dxa"/>
          </w:tcPr>
          <w:p w14:paraId="7CA6E779" w14:textId="6106573A" w:rsidR="00537A3B" w:rsidRPr="00666A2A" w:rsidRDefault="009230BA"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The </w:t>
            </w:r>
            <w:r w:rsidR="0036768F"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has been amended in line with the comment and the content of the paragraphs in questions has been incorporated into the Statement.</w:t>
            </w:r>
          </w:p>
        </w:tc>
      </w:tr>
      <w:tr w:rsidR="00D52FE6" w:rsidRPr="00666A2A" w14:paraId="33E8D17F" w14:textId="77777777" w:rsidTr="003C781F">
        <w:tc>
          <w:tcPr>
            <w:tcW w:w="562" w:type="dxa"/>
          </w:tcPr>
          <w:p w14:paraId="7859F8F6" w14:textId="07846461" w:rsidR="00D52FE6" w:rsidRPr="00666A2A" w:rsidRDefault="00D52FE6"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2EB0E4C9" w14:textId="113B7B7C" w:rsidR="00D52FE6" w:rsidRPr="00666A2A" w:rsidRDefault="00D52FE6" w:rsidP="00580B7B">
            <w:pPr>
              <w:spacing w:after="120"/>
              <w:rPr>
                <w:rFonts w:ascii="Arial" w:hAnsi="Arial" w:cs="Arial"/>
                <w:sz w:val="23"/>
                <w:szCs w:val="23"/>
                <w:lang w:val="en-GB"/>
              </w:rPr>
            </w:pPr>
            <w:r w:rsidRPr="00666A2A">
              <w:rPr>
                <w:rFonts w:ascii="Arial" w:hAnsi="Arial" w:cs="Arial"/>
                <w:sz w:val="23"/>
                <w:szCs w:val="23"/>
              </w:rPr>
              <w:t>ICMA</w:t>
            </w:r>
            <w:r w:rsidR="007A1DD4" w:rsidRPr="00666A2A">
              <w:rPr>
                <w:rFonts w:ascii="Arial" w:hAnsi="Arial" w:cs="Arial"/>
                <w:sz w:val="23"/>
                <w:szCs w:val="23"/>
              </w:rPr>
              <w:t xml:space="preserve"> and ISLA</w:t>
            </w:r>
          </w:p>
        </w:tc>
        <w:tc>
          <w:tcPr>
            <w:tcW w:w="1418" w:type="dxa"/>
          </w:tcPr>
          <w:p w14:paraId="38665EDF" w14:textId="4A725BE7" w:rsidR="00D52FE6" w:rsidRPr="00666A2A" w:rsidRDefault="00022B69" w:rsidP="00580B7B">
            <w:pPr>
              <w:spacing w:after="120"/>
              <w:rPr>
                <w:rFonts w:ascii="Arial" w:hAnsi="Arial" w:cs="Arial"/>
                <w:sz w:val="23"/>
                <w:szCs w:val="23"/>
                <w:lang w:val="en-GB"/>
              </w:rPr>
            </w:pPr>
            <w:r w:rsidRPr="00666A2A">
              <w:rPr>
                <w:rFonts w:ascii="Arial" w:hAnsi="Arial" w:cs="Arial"/>
                <w:sz w:val="23"/>
                <w:szCs w:val="23"/>
                <w:lang w:val="en-GB"/>
              </w:rPr>
              <w:t>5.</w:t>
            </w:r>
          </w:p>
        </w:tc>
        <w:tc>
          <w:tcPr>
            <w:tcW w:w="9639" w:type="dxa"/>
          </w:tcPr>
          <w:p w14:paraId="4A5253EC" w14:textId="326D5E59" w:rsidR="00D52FE6" w:rsidRPr="00666A2A" w:rsidRDefault="00022B69"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536A6671" w14:textId="5E563ADD" w:rsidR="00D52FE6" w:rsidRPr="00666A2A" w:rsidRDefault="003C781F"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52FE6" w:rsidRPr="00666A2A" w14:paraId="6B377D2B" w14:textId="77777777" w:rsidTr="003C781F">
        <w:tc>
          <w:tcPr>
            <w:tcW w:w="562" w:type="dxa"/>
          </w:tcPr>
          <w:p w14:paraId="272381CA" w14:textId="1F416CCE" w:rsidR="00D52FE6" w:rsidRPr="00666A2A" w:rsidRDefault="00D52FE6"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1836F9AD" w14:textId="58663D89" w:rsidR="00D52FE6" w:rsidRPr="00666A2A" w:rsidRDefault="00D52FE6" w:rsidP="00580B7B">
            <w:pPr>
              <w:spacing w:after="120"/>
              <w:rPr>
                <w:rFonts w:ascii="Arial" w:hAnsi="Arial" w:cs="Arial"/>
                <w:sz w:val="23"/>
                <w:szCs w:val="23"/>
                <w:lang w:val="en-GB"/>
              </w:rPr>
            </w:pPr>
            <w:r w:rsidRPr="00666A2A">
              <w:rPr>
                <w:rFonts w:ascii="Arial" w:hAnsi="Arial" w:cs="Arial"/>
                <w:sz w:val="23"/>
                <w:szCs w:val="23"/>
              </w:rPr>
              <w:t>ISDA</w:t>
            </w:r>
          </w:p>
        </w:tc>
        <w:tc>
          <w:tcPr>
            <w:tcW w:w="1418" w:type="dxa"/>
          </w:tcPr>
          <w:p w14:paraId="17639A59" w14:textId="778F7589" w:rsidR="00D52FE6" w:rsidRPr="00666A2A" w:rsidRDefault="00022B69" w:rsidP="00580B7B">
            <w:pPr>
              <w:spacing w:after="120"/>
              <w:rPr>
                <w:rFonts w:ascii="Arial" w:hAnsi="Arial" w:cs="Arial"/>
                <w:sz w:val="23"/>
                <w:szCs w:val="23"/>
              </w:rPr>
            </w:pPr>
            <w:r w:rsidRPr="00666A2A">
              <w:rPr>
                <w:rFonts w:ascii="Arial" w:hAnsi="Arial" w:cs="Arial"/>
                <w:sz w:val="23"/>
                <w:szCs w:val="23"/>
              </w:rPr>
              <w:t>5.</w:t>
            </w:r>
          </w:p>
        </w:tc>
        <w:tc>
          <w:tcPr>
            <w:tcW w:w="9639" w:type="dxa"/>
          </w:tcPr>
          <w:p w14:paraId="67ECD704" w14:textId="7FDA59DC" w:rsidR="00D52FE6" w:rsidRPr="00666A2A" w:rsidRDefault="00022B69"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4BED5736" w14:textId="5219B659" w:rsidR="00D52FE6" w:rsidRPr="00666A2A" w:rsidRDefault="003C781F"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52FE6" w:rsidRPr="00666A2A" w14:paraId="73E33EC5" w14:textId="77777777" w:rsidTr="003C781F">
        <w:tc>
          <w:tcPr>
            <w:tcW w:w="562" w:type="dxa"/>
          </w:tcPr>
          <w:p w14:paraId="4AC9D08F" w14:textId="22F512A8" w:rsidR="00D52FE6" w:rsidRPr="00666A2A" w:rsidRDefault="00D52FE6"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auto"/>
          </w:tcPr>
          <w:p w14:paraId="3B52D431" w14:textId="6553994B" w:rsidR="00D52FE6" w:rsidRPr="00666A2A" w:rsidRDefault="00D52FE6" w:rsidP="00580B7B">
            <w:pPr>
              <w:spacing w:after="120"/>
              <w:rPr>
                <w:rFonts w:ascii="Arial" w:hAnsi="Arial" w:cs="Arial"/>
                <w:sz w:val="23"/>
                <w:szCs w:val="23"/>
                <w:lang w:val="en-GB"/>
              </w:rPr>
            </w:pPr>
            <w:r w:rsidRPr="00666A2A">
              <w:rPr>
                <w:rFonts w:ascii="Arial" w:hAnsi="Arial" w:cs="Arial"/>
                <w:sz w:val="23"/>
                <w:szCs w:val="23"/>
              </w:rPr>
              <w:t>Nedbank</w:t>
            </w:r>
          </w:p>
        </w:tc>
        <w:tc>
          <w:tcPr>
            <w:tcW w:w="1418" w:type="dxa"/>
          </w:tcPr>
          <w:p w14:paraId="73A33842" w14:textId="0154ADE7" w:rsidR="00D52FE6" w:rsidRPr="00666A2A" w:rsidRDefault="00022B69" w:rsidP="00580B7B">
            <w:pPr>
              <w:spacing w:after="120"/>
              <w:rPr>
                <w:rFonts w:ascii="Arial" w:hAnsi="Arial" w:cs="Arial"/>
                <w:sz w:val="23"/>
                <w:szCs w:val="23"/>
              </w:rPr>
            </w:pPr>
            <w:r w:rsidRPr="00666A2A">
              <w:rPr>
                <w:rFonts w:ascii="Arial" w:hAnsi="Arial" w:cs="Arial"/>
                <w:sz w:val="23"/>
                <w:szCs w:val="23"/>
              </w:rPr>
              <w:t>5.</w:t>
            </w:r>
          </w:p>
        </w:tc>
        <w:tc>
          <w:tcPr>
            <w:tcW w:w="9639" w:type="dxa"/>
          </w:tcPr>
          <w:p w14:paraId="57B241B9" w14:textId="3CBBA0DD" w:rsidR="00D52FE6" w:rsidRPr="00666A2A" w:rsidRDefault="00022B69" w:rsidP="00A1617C">
            <w:pPr>
              <w:autoSpaceDE w:val="0"/>
              <w:autoSpaceDN w:val="0"/>
              <w:adjustRightInd w:val="0"/>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6C9038E3" w14:textId="64A7B6FB" w:rsidR="00D52FE6" w:rsidRPr="00666A2A" w:rsidRDefault="003C781F"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52FE6" w:rsidRPr="00666A2A" w14:paraId="28C55D36" w14:textId="77777777" w:rsidTr="003C781F">
        <w:tc>
          <w:tcPr>
            <w:tcW w:w="562" w:type="dxa"/>
          </w:tcPr>
          <w:p w14:paraId="0CC761B4" w14:textId="4B4F2D19" w:rsidR="00D52FE6" w:rsidRPr="00666A2A" w:rsidRDefault="00D52FE6"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auto"/>
          </w:tcPr>
          <w:p w14:paraId="57FBFA0D" w14:textId="532CBAFF" w:rsidR="00D52FE6" w:rsidRPr="00666A2A" w:rsidRDefault="00D52FE6" w:rsidP="00580B7B">
            <w:pPr>
              <w:spacing w:after="120"/>
              <w:rPr>
                <w:rFonts w:ascii="Arial" w:hAnsi="Arial" w:cs="Arial"/>
                <w:sz w:val="23"/>
                <w:szCs w:val="23"/>
                <w:lang w:val="en-GB"/>
              </w:rPr>
            </w:pPr>
            <w:r w:rsidRPr="00666A2A">
              <w:rPr>
                <w:rFonts w:ascii="Arial" w:hAnsi="Arial" w:cs="Arial"/>
                <w:sz w:val="23"/>
                <w:szCs w:val="23"/>
              </w:rPr>
              <w:t>SASLA</w:t>
            </w:r>
          </w:p>
        </w:tc>
        <w:tc>
          <w:tcPr>
            <w:tcW w:w="1418" w:type="dxa"/>
          </w:tcPr>
          <w:p w14:paraId="78B49F62" w14:textId="74E7B097" w:rsidR="00D52FE6"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5.3.</w:t>
            </w:r>
          </w:p>
        </w:tc>
        <w:tc>
          <w:tcPr>
            <w:tcW w:w="9639" w:type="dxa"/>
          </w:tcPr>
          <w:p w14:paraId="4F2BE8CF" w14:textId="39667ABE" w:rsidR="00D52FE6" w:rsidRPr="00666A2A" w:rsidRDefault="00537A3B" w:rsidP="00A1617C">
            <w:pPr>
              <w:spacing w:after="120"/>
              <w:jc w:val="both"/>
              <w:rPr>
                <w:rFonts w:ascii="Arial" w:hAnsi="Arial" w:cs="Arial"/>
                <w:sz w:val="23"/>
                <w:szCs w:val="23"/>
                <w:lang w:val="en-GB"/>
              </w:rPr>
            </w:pPr>
            <w:r w:rsidRPr="00666A2A">
              <w:rPr>
                <w:rFonts w:ascii="Arial" w:hAnsi="Arial" w:cs="Arial"/>
                <w:bCs/>
                <w:sz w:val="23"/>
                <w:szCs w:val="23"/>
              </w:rPr>
              <w:t>The "Principles for Financial Market Infrastructures" must be defined.</w:t>
            </w:r>
          </w:p>
        </w:tc>
        <w:tc>
          <w:tcPr>
            <w:tcW w:w="7229" w:type="dxa"/>
          </w:tcPr>
          <w:p w14:paraId="628F2683" w14:textId="1E0A00CA" w:rsidR="00D52FE6" w:rsidRPr="00666A2A" w:rsidRDefault="00D437BF"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A definition </w:t>
            </w:r>
            <w:r w:rsidR="002F6743" w:rsidRPr="00666A2A">
              <w:rPr>
                <w:rFonts w:ascii="Arial" w:eastAsia="Times New Roman" w:hAnsi="Arial" w:cs="Arial"/>
                <w:sz w:val="23"/>
                <w:szCs w:val="23"/>
                <w:lang w:val="en-GB"/>
              </w:rPr>
              <w:t xml:space="preserve">of the principles for financial market infrastructures has been included in the revised </w:t>
            </w:r>
            <w:r w:rsidR="00972CC0" w:rsidRPr="00666A2A">
              <w:rPr>
                <w:rFonts w:ascii="Arial" w:eastAsia="Times New Roman" w:hAnsi="Arial" w:cs="Arial"/>
                <w:sz w:val="23"/>
                <w:szCs w:val="23"/>
                <w:lang w:val="en-GB"/>
              </w:rPr>
              <w:t>proposed</w:t>
            </w:r>
            <w:r w:rsidR="002F6743" w:rsidRPr="00666A2A">
              <w:rPr>
                <w:rFonts w:ascii="Arial" w:eastAsia="Times New Roman" w:hAnsi="Arial" w:cs="Arial"/>
                <w:sz w:val="23"/>
                <w:szCs w:val="23"/>
                <w:lang w:val="en-GB"/>
              </w:rPr>
              <w:t xml:space="preserve"> Standard.</w:t>
            </w:r>
          </w:p>
        </w:tc>
      </w:tr>
      <w:tr w:rsidR="00537A3B" w:rsidRPr="00666A2A" w14:paraId="3C7548D2" w14:textId="77777777" w:rsidTr="003C781F">
        <w:tc>
          <w:tcPr>
            <w:tcW w:w="562" w:type="dxa"/>
          </w:tcPr>
          <w:p w14:paraId="0E45D073" w14:textId="77777777" w:rsidR="00537A3B" w:rsidRPr="00666A2A" w:rsidRDefault="00537A3B"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auto"/>
          </w:tcPr>
          <w:p w14:paraId="275A7211" w14:textId="368CFD3D" w:rsidR="00537A3B" w:rsidRPr="00666A2A" w:rsidRDefault="00537A3B" w:rsidP="00580B7B">
            <w:pPr>
              <w:spacing w:after="120"/>
              <w:rPr>
                <w:rFonts w:ascii="Arial" w:hAnsi="Arial" w:cs="Arial"/>
                <w:sz w:val="23"/>
                <w:szCs w:val="23"/>
              </w:rPr>
            </w:pPr>
            <w:r w:rsidRPr="00666A2A">
              <w:rPr>
                <w:rFonts w:ascii="Arial" w:hAnsi="Arial" w:cs="Arial"/>
                <w:sz w:val="23"/>
                <w:szCs w:val="23"/>
              </w:rPr>
              <w:t>SASLA</w:t>
            </w:r>
          </w:p>
        </w:tc>
        <w:tc>
          <w:tcPr>
            <w:tcW w:w="1418" w:type="dxa"/>
          </w:tcPr>
          <w:p w14:paraId="53D6C90C" w14:textId="7A98502D" w:rsidR="00537A3B"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5.6.</w:t>
            </w:r>
          </w:p>
        </w:tc>
        <w:tc>
          <w:tcPr>
            <w:tcW w:w="9639" w:type="dxa"/>
          </w:tcPr>
          <w:p w14:paraId="71EBA726" w14:textId="7C1D5828" w:rsidR="00537A3B" w:rsidRPr="00666A2A" w:rsidRDefault="00537A3B" w:rsidP="00A1617C">
            <w:pPr>
              <w:spacing w:after="120"/>
              <w:jc w:val="both"/>
              <w:rPr>
                <w:rFonts w:ascii="Arial" w:hAnsi="Arial" w:cs="Arial"/>
                <w:bCs/>
                <w:sz w:val="23"/>
                <w:szCs w:val="23"/>
              </w:rPr>
            </w:pPr>
            <w:r w:rsidRPr="00666A2A">
              <w:rPr>
                <w:rFonts w:ascii="Arial" w:hAnsi="Arial" w:cs="Arial"/>
                <w:bCs/>
                <w:sz w:val="23"/>
                <w:szCs w:val="23"/>
              </w:rPr>
              <w:t>The reference to "paragraph 5.4 above" should refer to paragraph 5.5.</w:t>
            </w:r>
          </w:p>
        </w:tc>
        <w:tc>
          <w:tcPr>
            <w:tcW w:w="7229" w:type="dxa"/>
          </w:tcPr>
          <w:p w14:paraId="78785C2E" w14:textId="62BE863E" w:rsidR="00537A3B" w:rsidRPr="00666A2A" w:rsidRDefault="002F6743"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The </w:t>
            </w:r>
            <w:r w:rsidR="00487782">
              <w:rPr>
                <w:rFonts w:ascii="Arial" w:eastAsia="Times New Roman" w:hAnsi="Arial" w:cs="Arial"/>
                <w:sz w:val="23"/>
                <w:szCs w:val="23"/>
                <w:lang w:val="en-GB"/>
              </w:rPr>
              <w:t xml:space="preserve">cross-referencing has been </w:t>
            </w:r>
            <w:r w:rsidR="008C4707">
              <w:rPr>
                <w:rFonts w:ascii="Arial" w:eastAsia="Times New Roman" w:hAnsi="Arial" w:cs="Arial"/>
                <w:sz w:val="23"/>
                <w:szCs w:val="23"/>
                <w:lang w:val="en-GB"/>
              </w:rPr>
              <w:t xml:space="preserve">addressed in the revised </w:t>
            </w:r>
            <w:r w:rsidR="00972CC0"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w:t>
            </w:r>
            <w:r w:rsidR="008C4707">
              <w:rPr>
                <w:rFonts w:ascii="Arial" w:eastAsia="Times New Roman" w:hAnsi="Arial" w:cs="Arial"/>
                <w:sz w:val="23"/>
                <w:szCs w:val="23"/>
                <w:lang w:val="en-GB"/>
              </w:rPr>
              <w:t>ard.</w:t>
            </w:r>
          </w:p>
        </w:tc>
      </w:tr>
      <w:tr w:rsidR="00537A3B" w:rsidRPr="00666A2A" w14:paraId="378A5828" w14:textId="77777777" w:rsidTr="003C781F">
        <w:tc>
          <w:tcPr>
            <w:tcW w:w="562" w:type="dxa"/>
          </w:tcPr>
          <w:p w14:paraId="20B616B9" w14:textId="77777777" w:rsidR="00537A3B" w:rsidRPr="00666A2A" w:rsidRDefault="00537A3B"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auto"/>
          </w:tcPr>
          <w:p w14:paraId="0492873C" w14:textId="7231D9F9" w:rsidR="00537A3B" w:rsidRPr="00666A2A" w:rsidRDefault="00537A3B" w:rsidP="00580B7B">
            <w:pPr>
              <w:spacing w:after="120"/>
              <w:rPr>
                <w:rFonts w:ascii="Arial" w:hAnsi="Arial" w:cs="Arial"/>
                <w:sz w:val="23"/>
                <w:szCs w:val="23"/>
              </w:rPr>
            </w:pPr>
            <w:r w:rsidRPr="00666A2A">
              <w:rPr>
                <w:rFonts w:ascii="Arial" w:hAnsi="Arial" w:cs="Arial"/>
                <w:sz w:val="23"/>
                <w:szCs w:val="23"/>
              </w:rPr>
              <w:t>SASLA</w:t>
            </w:r>
          </w:p>
        </w:tc>
        <w:tc>
          <w:tcPr>
            <w:tcW w:w="1418" w:type="dxa"/>
          </w:tcPr>
          <w:p w14:paraId="045ABBFA" w14:textId="07701F1A" w:rsidR="00537A3B"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5.6(e)</w:t>
            </w:r>
          </w:p>
        </w:tc>
        <w:tc>
          <w:tcPr>
            <w:tcW w:w="9639" w:type="dxa"/>
          </w:tcPr>
          <w:p w14:paraId="27EA1B9F" w14:textId="239A9E30" w:rsidR="00537A3B" w:rsidRPr="00666A2A" w:rsidRDefault="00537A3B" w:rsidP="00A1617C">
            <w:pPr>
              <w:spacing w:after="120"/>
              <w:jc w:val="both"/>
              <w:rPr>
                <w:rFonts w:ascii="Arial" w:hAnsi="Arial" w:cs="Arial"/>
                <w:bCs/>
                <w:sz w:val="23"/>
                <w:szCs w:val="23"/>
              </w:rPr>
            </w:pPr>
            <w:r w:rsidRPr="00666A2A">
              <w:rPr>
                <w:rFonts w:ascii="Arial" w:hAnsi="Arial" w:cs="Arial"/>
                <w:bCs/>
                <w:sz w:val="23"/>
                <w:szCs w:val="23"/>
              </w:rPr>
              <w:t>'Master agreement' is defined in paragraph 3.1 as being an ISDA only, and thus paragraph 5.6(e) would apply to an ISDA covering derivatives, securities lending transactions and repo transactions (but not a GMSLA or a GMRA). The effect of the definition of 'master agreement', plus paragraph 5.6 (e) is that the Standard purports to limit the application of the Standard to ISDAs only. In line with our comments in the Annexure, the definition of 'master agreement' in 3.1 could refer to section 35</w:t>
            </w:r>
            <w:proofErr w:type="gramStart"/>
            <w:r w:rsidRPr="00666A2A">
              <w:rPr>
                <w:rFonts w:ascii="Arial" w:hAnsi="Arial" w:cs="Arial"/>
                <w:bCs/>
                <w:sz w:val="23"/>
                <w:szCs w:val="23"/>
              </w:rPr>
              <w:t>B(</w:t>
            </w:r>
            <w:proofErr w:type="gramEnd"/>
            <w:r w:rsidRPr="00666A2A">
              <w:rPr>
                <w:rFonts w:ascii="Arial" w:hAnsi="Arial" w:cs="Arial"/>
                <w:bCs/>
                <w:sz w:val="23"/>
                <w:szCs w:val="23"/>
              </w:rPr>
              <w:t>2) of the Insolvency Act, 1936.</w:t>
            </w:r>
          </w:p>
        </w:tc>
        <w:tc>
          <w:tcPr>
            <w:tcW w:w="7229" w:type="dxa"/>
          </w:tcPr>
          <w:p w14:paraId="5B326645" w14:textId="2CBCA244" w:rsidR="00537A3B" w:rsidRPr="00666A2A" w:rsidRDefault="003756CA"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The comment is n</w:t>
            </w:r>
            <w:r w:rsidR="009230BA" w:rsidRPr="00666A2A">
              <w:rPr>
                <w:rFonts w:ascii="Arial" w:eastAsia="Times New Roman" w:hAnsi="Arial" w:cs="Arial"/>
                <w:sz w:val="23"/>
                <w:szCs w:val="23"/>
                <w:lang w:val="en-GB"/>
              </w:rPr>
              <w:t xml:space="preserve">oted. The definition </w:t>
            </w:r>
            <w:r w:rsidRPr="00666A2A">
              <w:rPr>
                <w:rFonts w:ascii="Arial" w:eastAsia="Times New Roman" w:hAnsi="Arial" w:cs="Arial"/>
                <w:sz w:val="23"/>
                <w:szCs w:val="23"/>
                <w:lang w:val="en-GB"/>
              </w:rPr>
              <w:t xml:space="preserve">in the proposed Standard </w:t>
            </w:r>
            <w:r w:rsidR="009230BA" w:rsidRPr="00666A2A">
              <w:rPr>
                <w:rFonts w:ascii="Arial" w:eastAsia="Times New Roman" w:hAnsi="Arial" w:cs="Arial"/>
                <w:sz w:val="23"/>
                <w:szCs w:val="23"/>
                <w:lang w:val="en-GB"/>
              </w:rPr>
              <w:t>has been amended to reference the definition in section 35</w:t>
            </w:r>
            <w:proofErr w:type="gramStart"/>
            <w:r w:rsidR="009230BA" w:rsidRPr="00666A2A">
              <w:rPr>
                <w:rFonts w:ascii="Arial" w:eastAsia="Times New Roman" w:hAnsi="Arial" w:cs="Arial"/>
                <w:sz w:val="23"/>
                <w:szCs w:val="23"/>
                <w:lang w:val="en-GB"/>
              </w:rPr>
              <w:t>B(</w:t>
            </w:r>
            <w:proofErr w:type="gramEnd"/>
            <w:r w:rsidR="009230BA" w:rsidRPr="00666A2A">
              <w:rPr>
                <w:rFonts w:ascii="Arial" w:eastAsia="Times New Roman" w:hAnsi="Arial" w:cs="Arial"/>
                <w:sz w:val="23"/>
                <w:szCs w:val="23"/>
                <w:lang w:val="en-GB"/>
              </w:rPr>
              <w:t>2) of the Insolvency Act, 1936 (Act No. 24 of 1936).</w:t>
            </w:r>
          </w:p>
        </w:tc>
      </w:tr>
      <w:tr w:rsidR="00D52FE6" w:rsidRPr="00666A2A" w14:paraId="01AB3454" w14:textId="77777777" w:rsidTr="003C781F">
        <w:tc>
          <w:tcPr>
            <w:tcW w:w="562" w:type="dxa"/>
          </w:tcPr>
          <w:p w14:paraId="05B9C3D1" w14:textId="76B8E638" w:rsidR="00D52FE6" w:rsidRPr="00666A2A" w:rsidRDefault="00D52FE6"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auto"/>
          </w:tcPr>
          <w:p w14:paraId="4299D1C3" w14:textId="760E9FED" w:rsidR="00D52FE6" w:rsidRPr="00666A2A" w:rsidRDefault="00D52FE6" w:rsidP="00580B7B">
            <w:pPr>
              <w:spacing w:after="120"/>
              <w:rPr>
                <w:rFonts w:ascii="Arial" w:hAnsi="Arial" w:cs="Arial"/>
                <w:sz w:val="23"/>
                <w:szCs w:val="23"/>
                <w:lang w:val="en-GB"/>
              </w:rPr>
            </w:pPr>
            <w:r w:rsidRPr="00666A2A">
              <w:rPr>
                <w:rFonts w:ascii="Arial" w:hAnsi="Arial" w:cs="Arial"/>
                <w:sz w:val="23"/>
                <w:szCs w:val="23"/>
              </w:rPr>
              <w:t>SBG</w:t>
            </w:r>
          </w:p>
        </w:tc>
        <w:tc>
          <w:tcPr>
            <w:tcW w:w="1418" w:type="dxa"/>
          </w:tcPr>
          <w:p w14:paraId="2210FF75" w14:textId="4DD9D136" w:rsidR="00D52FE6" w:rsidRPr="00666A2A" w:rsidRDefault="00537A3B" w:rsidP="00580B7B">
            <w:pPr>
              <w:spacing w:after="120"/>
              <w:rPr>
                <w:rFonts w:ascii="Arial" w:hAnsi="Arial" w:cs="Arial"/>
                <w:sz w:val="23"/>
                <w:szCs w:val="23"/>
                <w:lang w:val="en-GB"/>
              </w:rPr>
            </w:pPr>
            <w:r w:rsidRPr="00666A2A">
              <w:rPr>
                <w:rFonts w:ascii="Arial" w:hAnsi="Arial" w:cs="Arial"/>
                <w:sz w:val="23"/>
                <w:szCs w:val="23"/>
                <w:lang w:val="en-GB"/>
              </w:rPr>
              <w:t>5.5.</w:t>
            </w:r>
          </w:p>
        </w:tc>
        <w:tc>
          <w:tcPr>
            <w:tcW w:w="9639" w:type="dxa"/>
          </w:tcPr>
          <w:p w14:paraId="108D0306" w14:textId="77777777" w:rsidR="00537A3B" w:rsidRPr="00C05856" w:rsidRDefault="00537A3B" w:rsidP="00A1617C">
            <w:pPr>
              <w:spacing w:after="120"/>
              <w:jc w:val="both"/>
              <w:rPr>
                <w:rFonts w:ascii="Arial" w:hAnsi="Arial" w:cs="Arial"/>
                <w:bCs/>
                <w:sz w:val="23"/>
                <w:szCs w:val="23"/>
              </w:rPr>
            </w:pPr>
            <w:r w:rsidRPr="00666A2A">
              <w:rPr>
                <w:rFonts w:ascii="Arial" w:hAnsi="Arial" w:cs="Arial"/>
                <w:bCs/>
                <w:sz w:val="23"/>
                <w:szCs w:val="23"/>
              </w:rPr>
              <w:t xml:space="preserve">Please clarify if the Standard applies only to those contracts that are governed </w:t>
            </w:r>
            <w:r w:rsidRPr="00C05856">
              <w:rPr>
                <w:rFonts w:ascii="Arial" w:hAnsi="Arial" w:cs="Arial"/>
                <w:bCs/>
                <w:sz w:val="23"/>
                <w:szCs w:val="23"/>
              </w:rPr>
              <w:t>under foreign law?</w:t>
            </w:r>
          </w:p>
          <w:p w14:paraId="0CB9C185" w14:textId="77777777" w:rsidR="00537A3B" w:rsidRPr="00666A2A" w:rsidRDefault="00537A3B" w:rsidP="00A1617C">
            <w:pPr>
              <w:spacing w:after="120"/>
              <w:jc w:val="both"/>
              <w:rPr>
                <w:rFonts w:ascii="Arial" w:hAnsi="Arial" w:cs="Arial"/>
                <w:bCs/>
                <w:sz w:val="23"/>
                <w:szCs w:val="23"/>
              </w:rPr>
            </w:pPr>
            <w:r w:rsidRPr="00666A2A">
              <w:rPr>
                <w:rFonts w:ascii="Arial" w:hAnsi="Arial" w:cs="Arial"/>
                <w:bCs/>
                <w:sz w:val="23"/>
                <w:szCs w:val="23"/>
              </w:rPr>
              <w:t>The definition of ‘covered contracts’ narrows the scope of s166L - there are other types of agreements which may contain acceleration events.  Is it the intention to exclude other agreements from the application of these sections?</w:t>
            </w:r>
          </w:p>
          <w:p w14:paraId="0124E846" w14:textId="4D41B19B" w:rsidR="00D52FE6" w:rsidRPr="00666A2A" w:rsidRDefault="00537A3B" w:rsidP="00A1617C">
            <w:pPr>
              <w:spacing w:after="120"/>
              <w:jc w:val="both"/>
              <w:rPr>
                <w:rFonts w:ascii="Arial" w:hAnsi="Arial" w:cs="Arial"/>
                <w:sz w:val="23"/>
                <w:szCs w:val="23"/>
              </w:rPr>
            </w:pPr>
            <w:r w:rsidRPr="00666A2A">
              <w:rPr>
                <w:rFonts w:ascii="Arial" w:hAnsi="Arial" w:cs="Arial"/>
                <w:bCs/>
                <w:sz w:val="23"/>
                <w:szCs w:val="23"/>
              </w:rPr>
              <w:t>We believe that Global Master Repurchase Agreements (“GMRA”) and Global Master Securities Lending Agreements (“GMSLA”) should be included in the “master agreement” definition and afforded the same protection as an International Swaps and Derivatives Association master agreement (“ISDA”), set out in paragraph 5.6(e).</w:t>
            </w:r>
          </w:p>
        </w:tc>
        <w:tc>
          <w:tcPr>
            <w:tcW w:w="7229" w:type="dxa"/>
          </w:tcPr>
          <w:p w14:paraId="646ABAE3" w14:textId="647A2DF8" w:rsidR="00464D1C" w:rsidRPr="00666A2A" w:rsidRDefault="009B73C5"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Authorities </w:t>
            </w:r>
            <w:r w:rsidR="00464D1C" w:rsidRPr="00666A2A">
              <w:rPr>
                <w:rFonts w:ascii="Arial" w:eastAsia="Times New Roman" w:hAnsi="Arial" w:cs="Arial"/>
                <w:sz w:val="23"/>
                <w:szCs w:val="23"/>
                <w:lang w:val="en-GB"/>
              </w:rPr>
              <w:t xml:space="preserve">disagree with the comment as it relates to the definition of ‘covered </w:t>
            </w:r>
            <w:proofErr w:type="gramStart"/>
            <w:r w:rsidR="00464D1C" w:rsidRPr="00666A2A">
              <w:rPr>
                <w:rFonts w:ascii="Arial" w:eastAsia="Times New Roman" w:hAnsi="Arial" w:cs="Arial"/>
                <w:sz w:val="23"/>
                <w:szCs w:val="23"/>
                <w:lang w:val="en-GB"/>
              </w:rPr>
              <w:t>contracts’</w:t>
            </w:r>
            <w:proofErr w:type="gramEnd"/>
            <w:r w:rsidR="00464D1C" w:rsidRPr="00666A2A">
              <w:rPr>
                <w:rFonts w:ascii="Arial" w:eastAsia="Times New Roman" w:hAnsi="Arial" w:cs="Arial"/>
                <w:sz w:val="23"/>
                <w:szCs w:val="23"/>
                <w:lang w:val="en-GB"/>
              </w:rPr>
              <w:t xml:space="preserve">. The </w:t>
            </w:r>
            <w:r w:rsidR="003756CA" w:rsidRPr="00666A2A">
              <w:rPr>
                <w:rFonts w:ascii="Arial" w:eastAsia="Times New Roman" w:hAnsi="Arial" w:cs="Arial"/>
                <w:sz w:val="23"/>
                <w:szCs w:val="23"/>
                <w:lang w:val="en-GB"/>
              </w:rPr>
              <w:t>proposed</w:t>
            </w:r>
            <w:r w:rsidR="00464D1C" w:rsidRPr="00666A2A">
              <w:rPr>
                <w:rFonts w:ascii="Arial" w:eastAsia="Times New Roman" w:hAnsi="Arial" w:cs="Arial"/>
                <w:sz w:val="23"/>
                <w:szCs w:val="23"/>
                <w:lang w:val="en-GB"/>
              </w:rPr>
              <w:t xml:space="preserve"> Standard complements the provisions under section 166L of the Act in that it facilitates the application of the South African resolution framework to specified contracts governed under foreign laws.</w:t>
            </w:r>
          </w:p>
          <w:p w14:paraId="4FF19342" w14:textId="4B8015CD" w:rsidR="00464D1C" w:rsidRPr="00666A2A" w:rsidRDefault="00464D1C"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Regarding the definition of ‘master agreement’, the definition has been amended </w:t>
            </w:r>
            <w:r w:rsidR="00755030" w:rsidRPr="00666A2A">
              <w:rPr>
                <w:rFonts w:ascii="Arial" w:eastAsia="Times New Roman" w:hAnsi="Arial" w:cs="Arial"/>
                <w:sz w:val="23"/>
                <w:szCs w:val="23"/>
                <w:lang w:val="en-GB"/>
              </w:rPr>
              <w:t xml:space="preserve">in the revised proposed Standard </w:t>
            </w:r>
            <w:r w:rsidRPr="00666A2A">
              <w:rPr>
                <w:rFonts w:ascii="Arial" w:eastAsia="Times New Roman" w:hAnsi="Arial" w:cs="Arial"/>
                <w:sz w:val="23"/>
                <w:szCs w:val="23"/>
                <w:lang w:val="en-GB"/>
              </w:rPr>
              <w:t>to reference the definition in section 35</w:t>
            </w:r>
            <w:proofErr w:type="gramStart"/>
            <w:r w:rsidRPr="00666A2A">
              <w:rPr>
                <w:rFonts w:ascii="Arial" w:eastAsia="Times New Roman" w:hAnsi="Arial" w:cs="Arial"/>
                <w:sz w:val="23"/>
                <w:szCs w:val="23"/>
                <w:lang w:val="en-GB"/>
              </w:rPr>
              <w:t>B(</w:t>
            </w:r>
            <w:proofErr w:type="gramEnd"/>
            <w:r w:rsidRPr="00666A2A">
              <w:rPr>
                <w:rFonts w:ascii="Arial" w:eastAsia="Times New Roman" w:hAnsi="Arial" w:cs="Arial"/>
                <w:sz w:val="23"/>
                <w:szCs w:val="23"/>
                <w:lang w:val="en-GB"/>
              </w:rPr>
              <w:t>2) of the Insolvency Act, 1936 (Act No. 24 of 1936).</w:t>
            </w:r>
          </w:p>
        </w:tc>
      </w:tr>
      <w:tr w:rsidR="00D52FE6" w:rsidRPr="00666A2A" w14:paraId="70A85DAF" w14:textId="7BDC0757" w:rsidTr="00437B4A">
        <w:tc>
          <w:tcPr>
            <w:tcW w:w="20691" w:type="dxa"/>
            <w:gridSpan w:val="5"/>
            <w:shd w:val="clear" w:color="auto" w:fill="auto"/>
          </w:tcPr>
          <w:p w14:paraId="43129B07" w14:textId="1609E359" w:rsidR="00D52FE6" w:rsidRPr="00666A2A" w:rsidRDefault="00D52FE6" w:rsidP="00A1617C">
            <w:pPr>
              <w:spacing w:before="120" w:after="120"/>
              <w:jc w:val="center"/>
              <w:rPr>
                <w:rFonts w:ascii="Arial" w:hAnsi="Arial" w:cs="Arial"/>
                <w:b/>
                <w:sz w:val="23"/>
                <w:szCs w:val="23"/>
                <w:lang w:val="en-GB"/>
              </w:rPr>
            </w:pPr>
            <w:r w:rsidRPr="00666A2A">
              <w:rPr>
                <w:rFonts w:ascii="Arial" w:hAnsi="Arial" w:cs="Arial"/>
                <w:b/>
                <w:sz w:val="23"/>
                <w:szCs w:val="23"/>
                <w:lang w:val="en-GB"/>
              </w:rPr>
              <w:t>Contractual recognition in contracts governed by foreign law</w:t>
            </w:r>
          </w:p>
        </w:tc>
      </w:tr>
      <w:tr w:rsidR="0076299D" w:rsidRPr="00666A2A" w14:paraId="28C35BF5" w14:textId="77777777" w:rsidTr="003C781F">
        <w:tc>
          <w:tcPr>
            <w:tcW w:w="562" w:type="dxa"/>
          </w:tcPr>
          <w:p w14:paraId="635D87C1" w14:textId="7FED0414" w:rsidR="0076299D" w:rsidRPr="00666A2A" w:rsidRDefault="0076299D"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162DDB25" w14:textId="20312652" w:rsidR="0076299D" w:rsidRPr="00666A2A" w:rsidRDefault="0076299D" w:rsidP="00580B7B">
            <w:pPr>
              <w:spacing w:after="120"/>
              <w:rPr>
                <w:rFonts w:ascii="Arial" w:hAnsi="Arial" w:cs="Arial"/>
                <w:sz w:val="23"/>
                <w:szCs w:val="23"/>
                <w:lang w:val="en-GB"/>
              </w:rPr>
            </w:pPr>
            <w:r w:rsidRPr="00666A2A">
              <w:rPr>
                <w:rFonts w:ascii="Arial" w:hAnsi="Arial" w:cs="Arial"/>
                <w:sz w:val="23"/>
                <w:szCs w:val="23"/>
              </w:rPr>
              <w:t>BASA</w:t>
            </w:r>
          </w:p>
        </w:tc>
        <w:tc>
          <w:tcPr>
            <w:tcW w:w="1418" w:type="dxa"/>
          </w:tcPr>
          <w:p w14:paraId="783CE0B9" w14:textId="369557B9" w:rsidR="0076299D" w:rsidRPr="00666A2A" w:rsidRDefault="00411419" w:rsidP="00580B7B">
            <w:pPr>
              <w:spacing w:after="120"/>
              <w:rPr>
                <w:rFonts w:ascii="Arial" w:hAnsi="Arial" w:cs="Arial"/>
                <w:sz w:val="23"/>
                <w:szCs w:val="23"/>
                <w:lang w:val="en-GB"/>
              </w:rPr>
            </w:pPr>
            <w:r w:rsidRPr="00666A2A">
              <w:rPr>
                <w:rFonts w:ascii="Arial" w:hAnsi="Arial" w:cs="Arial"/>
                <w:sz w:val="23"/>
                <w:szCs w:val="23"/>
                <w:lang w:val="en-GB"/>
              </w:rPr>
              <w:t>6.</w:t>
            </w:r>
          </w:p>
        </w:tc>
        <w:tc>
          <w:tcPr>
            <w:tcW w:w="9639" w:type="dxa"/>
          </w:tcPr>
          <w:p w14:paraId="52860195" w14:textId="35D03D94" w:rsidR="0076299D" w:rsidRPr="00666A2A" w:rsidRDefault="00411419"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 comment.</w:t>
            </w:r>
          </w:p>
        </w:tc>
        <w:tc>
          <w:tcPr>
            <w:tcW w:w="7229" w:type="dxa"/>
          </w:tcPr>
          <w:p w14:paraId="79F78C04" w14:textId="78802410" w:rsidR="0076299D"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6299D" w:rsidRPr="00666A2A" w14:paraId="2C45CC9B" w14:textId="77777777" w:rsidTr="003C781F">
        <w:tc>
          <w:tcPr>
            <w:tcW w:w="562" w:type="dxa"/>
          </w:tcPr>
          <w:p w14:paraId="6D981F27" w14:textId="16745F46" w:rsidR="0076299D" w:rsidRPr="00666A2A" w:rsidRDefault="0076299D"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7FF00197" w14:textId="1897EC9C" w:rsidR="0076299D" w:rsidRPr="00666A2A" w:rsidRDefault="0076299D" w:rsidP="00580B7B">
            <w:pPr>
              <w:spacing w:after="120"/>
              <w:rPr>
                <w:rFonts w:ascii="Arial" w:hAnsi="Arial" w:cs="Arial"/>
                <w:sz w:val="23"/>
                <w:szCs w:val="23"/>
                <w:lang w:val="en-GB"/>
              </w:rPr>
            </w:pPr>
            <w:r w:rsidRPr="00666A2A">
              <w:rPr>
                <w:rFonts w:ascii="Arial" w:hAnsi="Arial" w:cs="Arial"/>
                <w:sz w:val="23"/>
                <w:szCs w:val="23"/>
              </w:rPr>
              <w:t>BOCA</w:t>
            </w:r>
          </w:p>
        </w:tc>
        <w:tc>
          <w:tcPr>
            <w:tcW w:w="1418" w:type="dxa"/>
            <w:shd w:val="clear" w:color="auto" w:fill="auto"/>
          </w:tcPr>
          <w:p w14:paraId="357A09BF" w14:textId="0029616E" w:rsidR="0076299D" w:rsidRPr="00666A2A" w:rsidRDefault="00411419" w:rsidP="00580B7B">
            <w:pPr>
              <w:spacing w:after="120"/>
              <w:rPr>
                <w:rFonts w:ascii="Arial" w:hAnsi="Arial" w:cs="Arial"/>
                <w:sz w:val="23"/>
                <w:szCs w:val="23"/>
              </w:rPr>
            </w:pPr>
            <w:r w:rsidRPr="00666A2A">
              <w:rPr>
                <w:rFonts w:ascii="Arial" w:hAnsi="Arial" w:cs="Arial"/>
                <w:sz w:val="23"/>
                <w:szCs w:val="23"/>
              </w:rPr>
              <w:t>6.</w:t>
            </w:r>
          </w:p>
        </w:tc>
        <w:tc>
          <w:tcPr>
            <w:tcW w:w="9639" w:type="dxa"/>
            <w:shd w:val="clear" w:color="auto" w:fill="auto"/>
          </w:tcPr>
          <w:p w14:paraId="25D4C306" w14:textId="7F5CCFCC" w:rsidR="0076299D" w:rsidRPr="00666A2A" w:rsidRDefault="00411419"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1805A98A" w14:textId="3673CCDC" w:rsidR="0076299D"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6299D" w:rsidRPr="00666A2A" w14:paraId="60784B74" w14:textId="77777777" w:rsidTr="003C781F">
        <w:tc>
          <w:tcPr>
            <w:tcW w:w="562" w:type="dxa"/>
          </w:tcPr>
          <w:p w14:paraId="2590F213" w14:textId="0AB9E01A" w:rsidR="0076299D" w:rsidRPr="00666A2A" w:rsidRDefault="0076299D"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44A381FE" w14:textId="175CE7D4" w:rsidR="0076299D" w:rsidRPr="00666A2A" w:rsidRDefault="0076299D" w:rsidP="00580B7B">
            <w:pPr>
              <w:spacing w:after="120"/>
              <w:rPr>
                <w:rFonts w:ascii="Arial" w:hAnsi="Arial" w:cs="Arial"/>
                <w:sz w:val="23"/>
                <w:szCs w:val="23"/>
                <w:lang w:val="en-GB"/>
              </w:rPr>
            </w:pPr>
            <w:r w:rsidRPr="00666A2A">
              <w:rPr>
                <w:rFonts w:ascii="Arial" w:hAnsi="Arial" w:cs="Arial"/>
                <w:sz w:val="23"/>
                <w:szCs w:val="23"/>
              </w:rPr>
              <w:t>FSCA</w:t>
            </w:r>
          </w:p>
        </w:tc>
        <w:tc>
          <w:tcPr>
            <w:tcW w:w="1418" w:type="dxa"/>
          </w:tcPr>
          <w:p w14:paraId="4FBEC4DD" w14:textId="54088AAA" w:rsidR="0076299D" w:rsidRPr="00666A2A" w:rsidRDefault="00411419" w:rsidP="00580B7B">
            <w:pPr>
              <w:spacing w:after="120"/>
              <w:rPr>
                <w:rFonts w:ascii="Arial" w:hAnsi="Arial" w:cs="Arial"/>
                <w:sz w:val="23"/>
                <w:szCs w:val="23"/>
              </w:rPr>
            </w:pPr>
            <w:r w:rsidRPr="00666A2A">
              <w:rPr>
                <w:rFonts w:ascii="Arial" w:hAnsi="Arial" w:cs="Arial"/>
                <w:sz w:val="23"/>
                <w:szCs w:val="23"/>
              </w:rPr>
              <w:t>6.</w:t>
            </w:r>
          </w:p>
        </w:tc>
        <w:tc>
          <w:tcPr>
            <w:tcW w:w="9639" w:type="dxa"/>
          </w:tcPr>
          <w:p w14:paraId="7F01E2EC" w14:textId="04FE166F" w:rsidR="0076299D" w:rsidRPr="00666A2A" w:rsidRDefault="00411419"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066B6116" w14:textId="36CE040F" w:rsidR="0076299D"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6299D" w:rsidRPr="00666A2A" w14:paraId="51B66623" w14:textId="77777777" w:rsidTr="003C781F">
        <w:tc>
          <w:tcPr>
            <w:tcW w:w="562" w:type="dxa"/>
          </w:tcPr>
          <w:p w14:paraId="7C42FA8F" w14:textId="38663428" w:rsidR="0076299D" w:rsidRPr="00666A2A" w:rsidRDefault="0076299D"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30934BC4" w14:textId="591787D5" w:rsidR="0076299D" w:rsidRPr="00666A2A" w:rsidRDefault="0076299D" w:rsidP="00580B7B">
            <w:pPr>
              <w:spacing w:after="120"/>
              <w:rPr>
                <w:rFonts w:ascii="Arial" w:hAnsi="Arial" w:cs="Arial"/>
                <w:sz w:val="23"/>
                <w:szCs w:val="23"/>
                <w:lang w:val="en-GB"/>
              </w:rPr>
            </w:pPr>
            <w:r w:rsidRPr="00666A2A">
              <w:rPr>
                <w:rFonts w:ascii="Arial" w:hAnsi="Arial" w:cs="Arial"/>
                <w:sz w:val="23"/>
                <w:szCs w:val="23"/>
              </w:rPr>
              <w:t>ICMA</w:t>
            </w:r>
            <w:r w:rsidR="007A1DD4" w:rsidRPr="00666A2A">
              <w:rPr>
                <w:rFonts w:ascii="Arial" w:hAnsi="Arial" w:cs="Arial"/>
                <w:sz w:val="23"/>
                <w:szCs w:val="23"/>
              </w:rPr>
              <w:t xml:space="preserve"> and ISLA</w:t>
            </w:r>
          </w:p>
        </w:tc>
        <w:tc>
          <w:tcPr>
            <w:tcW w:w="1418" w:type="dxa"/>
          </w:tcPr>
          <w:p w14:paraId="1DCE75F2" w14:textId="6848911F" w:rsidR="0076299D" w:rsidRPr="00666A2A" w:rsidRDefault="00411419" w:rsidP="00580B7B">
            <w:pPr>
              <w:spacing w:after="120"/>
              <w:rPr>
                <w:rFonts w:ascii="Arial" w:hAnsi="Arial" w:cs="Arial"/>
                <w:sz w:val="23"/>
                <w:szCs w:val="23"/>
                <w:lang w:val="en-GB"/>
              </w:rPr>
            </w:pPr>
            <w:r w:rsidRPr="00666A2A">
              <w:rPr>
                <w:rFonts w:ascii="Arial" w:hAnsi="Arial" w:cs="Arial"/>
                <w:sz w:val="23"/>
                <w:szCs w:val="23"/>
                <w:lang w:val="en-GB"/>
              </w:rPr>
              <w:t>6.</w:t>
            </w:r>
          </w:p>
        </w:tc>
        <w:tc>
          <w:tcPr>
            <w:tcW w:w="9639" w:type="dxa"/>
          </w:tcPr>
          <w:p w14:paraId="148F934B" w14:textId="6D6CD9EF" w:rsidR="0076299D" w:rsidRPr="00666A2A" w:rsidRDefault="00411419"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 comment.</w:t>
            </w:r>
          </w:p>
        </w:tc>
        <w:tc>
          <w:tcPr>
            <w:tcW w:w="7229" w:type="dxa"/>
          </w:tcPr>
          <w:p w14:paraId="63125792" w14:textId="4587AB15" w:rsidR="0076299D"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6299D" w:rsidRPr="00666A2A" w14:paraId="36C6A211" w14:textId="77777777" w:rsidTr="003C781F">
        <w:tc>
          <w:tcPr>
            <w:tcW w:w="562" w:type="dxa"/>
          </w:tcPr>
          <w:p w14:paraId="3DD5A626" w14:textId="5140371D" w:rsidR="0076299D" w:rsidRPr="00666A2A" w:rsidRDefault="0076299D"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4853D6CC" w14:textId="371FFC6B" w:rsidR="0076299D" w:rsidRPr="00666A2A" w:rsidRDefault="0076299D" w:rsidP="00580B7B">
            <w:pPr>
              <w:spacing w:after="120"/>
              <w:rPr>
                <w:rFonts w:ascii="Arial" w:hAnsi="Arial" w:cs="Arial"/>
                <w:sz w:val="23"/>
                <w:szCs w:val="23"/>
                <w:lang w:val="en-GB"/>
              </w:rPr>
            </w:pPr>
            <w:r w:rsidRPr="00666A2A">
              <w:rPr>
                <w:rFonts w:ascii="Arial" w:hAnsi="Arial" w:cs="Arial"/>
                <w:sz w:val="23"/>
                <w:szCs w:val="23"/>
              </w:rPr>
              <w:t>ISDA</w:t>
            </w:r>
          </w:p>
        </w:tc>
        <w:tc>
          <w:tcPr>
            <w:tcW w:w="1418" w:type="dxa"/>
            <w:shd w:val="clear" w:color="auto" w:fill="auto"/>
          </w:tcPr>
          <w:p w14:paraId="44008894" w14:textId="3DEBC3B4" w:rsidR="0076299D" w:rsidRPr="00666A2A" w:rsidRDefault="00411419" w:rsidP="00580B7B">
            <w:pPr>
              <w:spacing w:after="120"/>
              <w:rPr>
                <w:rFonts w:ascii="Arial" w:hAnsi="Arial" w:cs="Arial"/>
                <w:sz w:val="23"/>
                <w:szCs w:val="23"/>
              </w:rPr>
            </w:pPr>
            <w:r w:rsidRPr="00666A2A">
              <w:rPr>
                <w:rFonts w:ascii="Arial" w:hAnsi="Arial" w:cs="Arial"/>
                <w:sz w:val="23"/>
                <w:szCs w:val="23"/>
              </w:rPr>
              <w:t>6.</w:t>
            </w:r>
          </w:p>
        </w:tc>
        <w:tc>
          <w:tcPr>
            <w:tcW w:w="9639" w:type="dxa"/>
            <w:shd w:val="clear" w:color="auto" w:fill="auto"/>
          </w:tcPr>
          <w:p w14:paraId="6C9A6961" w14:textId="58D91E92" w:rsidR="0076299D" w:rsidRPr="00666A2A" w:rsidRDefault="00411419"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31FFA0C0" w14:textId="61E74C6C" w:rsidR="0076299D"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6299D" w:rsidRPr="00666A2A" w14:paraId="241F6728" w14:textId="77777777" w:rsidTr="003C781F">
        <w:tc>
          <w:tcPr>
            <w:tcW w:w="562" w:type="dxa"/>
          </w:tcPr>
          <w:p w14:paraId="43FB9EA2" w14:textId="2714C5F8" w:rsidR="0076299D" w:rsidRPr="00666A2A" w:rsidRDefault="0076299D"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270191A2" w14:textId="61236052" w:rsidR="0076299D" w:rsidRPr="00666A2A" w:rsidRDefault="0076299D" w:rsidP="00580B7B">
            <w:pPr>
              <w:spacing w:after="120"/>
              <w:rPr>
                <w:rFonts w:ascii="Arial" w:hAnsi="Arial" w:cs="Arial"/>
                <w:sz w:val="23"/>
                <w:szCs w:val="23"/>
                <w:lang w:val="en-GB"/>
              </w:rPr>
            </w:pPr>
            <w:r w:rsidRPr="00666A2A">
              <w:rPr>
                <w:rFonts w:ascii="Arial" w:hAnsi="Arial" w:cs="Arial"/>
                <w:sz w:val="23"/>
                <w:szCs w:val="23"/>
              </w:rPr>
              <w:t>Nedbank</w:t>
            </w:r>
          </w:p>
        </w:tc>
        <w:tc>
          <w:tcPr>
            <w:tcW w:w="1418" w:type="dxa"/>
          </w:tcPr>
          <w:p w14:paraId="023CB318" w14:textId="0B5A11F7" w:rsidR="0076299D" w:rsidRPr="00666A2A" w:rsidRDefault="00411419" w:rsidP="00580B7B">
            <w:pPr>
              <w:spacing w:after="120"/>
              <w:rPr>
                <w:rFonts w:ascii="Arial" w:hAnsi="Arial" w:cs="Arial"/>
                <w:sz w:val="23"/>
                <w:szCs w:val="23"/>
              </w:rPr>
            </w:pPr>
            <w:r w:rsidRPr="00666A2A">
              <w:rPr>
                <w:rFonts w:ascii="Arial" w:hAnsi="Arial" w:cs="Arial"/>
                <w:sz w:val="23"/>
                <w:szCs w:val="23"/>
              </w:rPr>
              <w:t>6.</w:t>
            </w:r>
          </w:p>
        </w:tc>
        <w:tc>
          <w:tcPr>
            <w:tcW w:w="9639" w:type="dxa"/>
          </w:tcPr>
          <w:p w14:paraId="6DAF5EE1" w14:textId="4E3F2E57" w:rsidR="0076299D" w:rsidRPr="00666A2A" w:rsidRDefault="00411419"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7BD7E2A9" w14:textId="060FFC79" w:rsidR="0076299D" w:rsidRPr="00666A2A" w:rsidRDefault="003C781F"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6299D" w:rsidRPr="00666A2A" w14:paraId="5F7F9778" w14:textId="77777777" w:rsidTr="003C781F">
        <w:tc>
          <w:tcPr>
            <w:tcW w:w="562" w:type="dxa"/>
            <w:shd w:val="clear" w:color="auto" w:fill="FFFFFF" w:themeFill="background1"/>
          </w:tcPr>
          <w:p w14:paraId="0C7F1DBF" w14:textId="23137407" w:rsidR="0076299D" w:rsidRPr="00666A2A" w:rsidRDefault="0076299D"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FFFFFF" w:themeFill="background1"/>
          </w:tcPr>
          <w:p w14:paraId="03A4F198" w14:textId="2533269F" w:rsidR="0076299D" w:rsidRPr="00666A2A" w:rsidRDefault="0076299D" w:rsidP="00580B7B">
            <w:pPr>
              <w:spacing w:after="120"/>
              <w:rPr>
                <w:rFonts w:ascii="Arial" w:hAnsi="Arial" w:cs="Arial"/>
                <w:sz w:val="23"/>
                <w:szCs w:val="23"/>
                <w:lang w:val="en-GB"/>
              </w:rPr>
            </w:pPr>
            <w:r w:rsidRPr="00666A2A">
              <w:rPr>
                <w:rFonts w:ascii="Arial" w:hAnsi="Arial" w:cs="Arial"/>
                <w:sz w:val="23"/>
                <w:szCs w:val="23"/>
              </w:rPr>
              <w:t>SASLA</w:t>
            </w:r>
          </w:p>
        </w:tc>
        <w:tc>
          <w:tcPr>
            <w:tcW w:w="1418" w:type="dxa"/>
            <w:shd w:val="clear" w:color="auto" w:fill="FFFFFF" w:themeFill="background1"/>
          </w:tcPr>
          <w:p w14:paraId="69D51973" w14:textId="5A0A8ABE" w:rsidR="0076299D" w:rsidRPr="00666A2A" w:rsidRDefault="00411419" w:rsidP="00580B7B">
            <w:pPr>
              <w:spacing w:after="120"/>
              <w:rPr>
                <w:rFonts w:ascii="Arial" w:hAnsi="Arial" w:cs="Arial"/>
                <w:sz w:val="23"/>
                <w:szCs w:val="23"/>
              </w:rPr>
            </w:pPr>
            <w:r w:rsidRPr="00666A2A">
              <w:rPr>
                <w:rFonts w:ascii="Arial" w:hAnsi="Arial" w:cs="Arial"/>
                <w:sz w:val="23"/>
                <w:szCs w:val="23"/>
              </w:rPr>
              <w:t>6.1.</w:t>
            </w:r>
          </w:p>
        </w:tc>
        <w:tc>
          <w:tcPr>
            <w:tcW w:w="9639" w:type="dxa"/>
            <w:shd w:val="clear" w:color="auto" w:fill="FFFFFF" w:themeFill="background1"/>
          </w:tcPr>
          <w:p w14:paraId="03C409B9" w14:textId="111D25D9" w:rsidR="0076299D" w:rsidRPr="00666A2A" w:rsidRDefault="00411419" w:rsidP="00A1617C">
            <w:pPr>
              <w:pStyle w:val="Default"/>
              <w:spacing w:after="120" w:line="276" w:lineRule="auto"/>
              <w:jc w:val="both"/>
              <w:rPr>
                <w:color w:val="auto"/>
                <w:sz w:val="23"/>
                <w:szCs w:val="23"/>
              </w:rPr>
            </w:pPr>
            <w:r w:rsidRPr="00666A2A">
              <w:rPr>
                <w:bCs/>
                <w:color w:val="auto"/>
                <w:sz w:val="23"/>
                <w:szCs w:val="23"/>
              </w:rPr>
              <w:t>The stay in paragraph 166L is not temporary, as it states that certain provisions of an agreement are of no effect. The word "temporary" in paragraph 6.1 should be deleted. Furthermore, this appears to be saying the same thing as paragraph 7.1, but in slightly different words.</w:t>
            </w:r>
          </w:p>
        </w:tc>
        <w:tc>
          <w:tcPr>
            <w:tcW w:w="7229" w:type="dxa"/>
            <w:shd w:val="clear" w:color="auto" w:fill="FFFFFF" w:themeFill="background1"/>
          </w:tcPr>
          <w:p w14:paraId="12B5B223" w14:textId="12768E92" w:rsidR="0076299D" w:rsidRPr="00666A2A" w:rsidRDefault="00013241"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The </w:t>
            </w:r>
            <w:r w:rsidR="00D25CB7"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has been amended in line with the comment.</w:t>
            </w:r>
          </w:p>
        </w:tc>
      </w:tr>
      <w:tr w:rsidR="0076299D" w:rsidRPr="00666A2A" w14:paraId="0AE433BE" w14:textId="77777777" w:rsidTr="003C781F">
        <w:tc>
          <w:tcPr>
            <w:tcW w:w="562" w:type="dxa"/>
          </w:tcPr>
          <w:p w14:paraId="5D792E58" w14:textId="1DA35B22" w:rsidR="0076299D" w:rsidRPr="00666A2A" w:rsidRDefault="0076299D"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0CF3D9D0" w14:textId="365D6CC4" w:rsidR="0076299D" w:rsidRPr="00666A2A" w:rsidRDefault="0076299D" w:rsidP="00580B7B">
            <w:pPr>
              <w:spacing w:after="120"/>
              <w:rPr>
                <w:rFonts w:ascii="Arial" w:hAnsi="Arial" w:cs="Arial"/>
                <w:sz w:val="23"/>
                <w:szCs w:val="23"/>
                <w:lang w:val="en-GB"/>
              </w:rPr>
            </w:pPr>
            <w:r w:rsidRPr="00666A2A">
              <w:rPr>
                <w:rFonts w:ascii="Arial" w:hAnsi="Arial" w:cs="Arial"/>
                <w:sz w:val="23"/>
                <w:szCs w:val="23"/>
              </w:rPr>
              <w:t>SBG</w:t>
            </w:r>
          </w:p>
        </w:tc>
        <w:tc>
          <w:tcPr>
            <w:tcW w:w="1418" w:type="dxa"/>
          </w:tcPr>
          <w:p w14:paraId="01F7AD00" w14:textId="72BE0C01" w:rsidR="0076299D" w:rsidRPr="00666A2A" w:rsidRDefault="00411419" w:rsidP="00580B7B">
            <w:pPr>
              <w:spacing w:after="120"/>
              <w:rPr>
                <w:rFonts w:ascii="Arial" w:hAnsi="Arial" w:cs="Arial"/>
                <w:sz w:val="23"/>
                <w:szCs w:val="23"/>
                <w:lang w:val="en-GB"/>
              </w:rPr>
            </w:pPr>
            <w:r w:rsidRPr="00666A2A">
              <w:rPr>
                <w:rFonts w:ascii="Arial" w:hAnsi="Arial" w:cs="Arial"/>
                <w:sz w:val="23"/>
                <w:szCs w:val="23"/>
                <w:lang w:val="en-GB"/>
              </w:rPr>
              <w:t>6.</w:t>
            </w:r>
          </w:p>
        </w:tc>
        <w:tc>
          <w:tcPr>
            <w:tcW w:w="9639" w:type="dxa"/>
          </w:tcPr>
          <w:p w14:paraId="15B48177" w14:textId="6FC7AD1B" w:rsidR="0076299D" w:rsidRPr="00666A2A" w:rsidRDefault="00411419"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 comment.</w:t>
            </w:r>
          </w:p>
        </w:tc>
        <w:tc>
          <w:tcPr>
            <w:tcW w:w="7229" w:type="dxa"/>
          </w:tcPr>
          <w:p w14:paraId="48D76901" w14:textId="7563CB41" w:rsidR="0076299D"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B3FD7" w:rsidRPr="00666A2A" w14:paraId="0BCFB82F" w14:textId="7BC05569" w:rsidTr="00437B4A">
        <w:tc>
          <w:tcPr>
            <w:tcW w:w="20691" w:type="dxa"/>
            <w:gridSpan w:val="5"/>
            <w:shd w:val="clear" w:color="auto" w:fill="auto"/>
          </w:tcPr>
          <w:p w14:paraId="1C999F99" w14:textId="17214BC5" w:rsidR="007B3FD7" w:rsidRPr="00666A2A" w:rsidRDefault="007B3FD7" w:rsidP="00A1617C">
            <w:pPr>
              <w:tabs>
                <w:tab w:val="left" w:pos="172"/>
              </w:tabs>
              <w:spacing w:before="120" w:after="120"/>
              <w:jc w:val="center"/>
              <w:rPr>
                <w:rFonts w:ascii="Arial" w:hAnsi="Arial" w:cs="Arial"/>
                <w:b/>
                <w:sz w:val="23"/>
                <w:szCs w:val="23"/>
                <w:lang w:val="en-GB"/>
              </w:rPr>
            </w:pPr>
            <w:r w:rsidRPr="00666A2A">
              <w:rPr>
                <w:rFonts w:ascii="Arial" w:hAnsi="Arial" w:cs="Arial"/>
                <w:b/>
                <w:sz w:val="23"/>
                <w:szCs w:val="23"/>
                <w:lang w:val="en-GB"/>
              </w:rPr>
              <w:t>Contractual recognition requirements</w:t>
            </w:r>
          </w:p>
        </w:tc>
      </w:tr>
      <w:tr w:rsidR="00411419" w:rsidRPr="00666A2A" w14:paraId="20FCAD75" w14:textId="77777777" w:rsidTr="003C781F">
        <w:tc>
          <w:tcPr>
            <w:tcW w:w="562" w:type="dxa"/>
          </w:tcPr>
          <w:p w14:paraId="4CC6C724" w14:textId="325F9739" w:rsidR="00411419" w:rsidRPr="00666A2A" w:rsidRDefault="00411419"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00D29982" w14:textId="262626F7" w:rsidR="00411419" w:rsidRPr="00666A2A" w:rsidRDefault="00411419" w:rsidP="00580B7B">
            <w:pPr>
              <w:spacing w:after="120"/>
              <w:rPr>
                <w:rFonts w:ascii="Arial" w:hAnsi="Arial" w:cs="Arial"/>
                <w:sz w:val="23"/>
                <w:szCs w:val="23"/>
                <w:lang w:val="en-GB"/>
              </w:rPr>
            </w:pPr>
            <w:r w:rsidRPr="00666A2A">
              <w:rPr>
                <w:rFonts w:ascii="Arial" w:hAnsi="Arial" w:cs="Arial"/>
                <w:sz w:val="23"/>
                <w:szCs w:val="23"/>
              </w:rPr>
              <w:t>BASA</w:t>
            </w:r>
          </w:p>
        </w:tc>
        <w:tc>
          <w:tcPr>
            <w:tcW w:w="1418" w:type="dxa"/>
          </w:tcPr>
          <w:p w14:paraId="2A57B325" w14:textId="337F37AB" w:rsidR="00411419" w:rsidRPr="00666A2A" w:rsidRDefault="00411419" w:rsidP="00580B7B">
            <w:pPr>
              <w:spacing w:after="120"/>
              <w:rPr>
                <w:rFonts w:ascii="Arial" w:hAnsi="Arial" w:cs="Arial"/>
                <w:sz w:val="23"/>
                <w:szCs w:val="23"/>
                <w:lang w:val="en-GB"/>
              </w:rPr>
            </w:pPr>
            <w:r w:rsidRPr="00666A2A">
              <w:rPr>
                <w:rFonts w:ascii="Arial" w:hAnsi="Arial" w:cs="Arial"/>
                <w:sz w:val="23"/>
                <w:szCs w:val="23"/>
                <w:lang w:val="en-GB"/>
              </w:rPr>
              <w:t>7.4.</w:t>
            </w:r>
          </w:p>
        </w:tc>
        <w:tc>
          <w:tcPr>
            <w:tcW w:w="9639" w:type="dxa"/>
          </w:tcPr>
          <w:p w14:paraId="01805EA6" w14:textId="1134D221" w:rsidR="00411419" w:rsidRPr="00666A2A" w:rsidRDefault="00411419"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rPr>
              <w:t xml:space="preserve">This section requires a designated institution to undertake an “independent review” of the legal enforceability of its contractual provisions. Section 7.4 then requires the review to be carried </w:t>
            </w:r>
            <w:r w:rsidRPr="00666A2A">
              <w:rPr>
                <w:rFonts w:ascii="Arial" w:eastAsia="Times New Roman" w:hAnsi="Arial" w:cs="Arial"/>
                <w:sz w:val="23"/>
                <w:szCs w:val="23"/>
              </w:rPr>
              <w:lastRenderedPageBreak/>
              <w:t>out by the designated institution’s legal function or independent third party. It is not clear what is meant by “independent” given that an internal legal review will suffice.</w:t>
            </w:r>
          </w:p>
        </w:tc>
        <w:tc>
          <w:tcPr>
            <w:tcW w:w="7229" w:type="dxa"/>
          </w:tcPr>
          <w:p w14:paraId="34BBBADE" w14:textId="23DCAC9B" w:rsidR="00411419" w:rsidRPr="00666A2A" w:rsidRDefault="00013241"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lastRenderedPageBreak/>
              <w:t xml:space="preserve">The comment is noted. The </w:t>
            </w:r>
            <w:r w:rsidR="00D25CB7"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has been amended in line with the comment. The requirement for an independent review has been moved to paragraph 10.4 of the revised </w:t>
            </w:r>
            <w:r w:rsidR="00D25CB7"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w:t>
            </w:r>
          </w:p>
        </w:tc>
      </w:tr>
      <w:tr w:rsidR="00411419" w:rsidRPr="00666A2A" w14:paraId="2E18DAEA" w14:textId="77777777" w:rsidTr="003C781F">
        <w:tc>
          <w:tcPr>
            <w:tcW w:w="562" w:type="dxa"/>
          </w:tcPr>
          <w:p w14:paraId="02A08C8A" w14:textId="331C08DF" w:rsidR="00411419" w:rsidRPr="00666A2A" w:rsidRDefault="00411419"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43C4AF2" w14:textId="20B19A6A" w:rsidR="00411419" w:rsidRPr="00666A2A" w:rsidRDefault="00411419" w:rsidP="00580B7B">
            <w:pPr>
              <w:spacing w:after="120"/>
              <w:rPr>
                <w:rFonts w:ascii="Arial" w:hAnsi="Arial" w:cs="Arial"/>
                <w:sz w:val="23"/>
                <w:szCs w:val="23"/>
                <w:lang w:val="en-GB"/>
              </w:rPr>
            </w:pPr>
            <w:r w:rsidRPr="00666A2A">
              <w:rPr>
                <w:rFonts w:ascii="Arial" w:hAnsi="Arial" w:cs="Arial"/>
                <w:sz w:val="23"/>
                <w:szCs w:val="23"/>
              </w:rPr>
              <w:t>BOCA</w:t>
            </w:r>
          </w:p>
        </w:tc>
        <w:tc>
          <w:tcPr>
            <w:tcW w:w="1418" w:type="dxa"/>
          </w:tcPr>
          <w:p w14:paraId="78140453" w14:textId="69730B49" w:rsidR="00411419" w:rsidRPr="00666A2A" w:rsidRDefault="00D65561" w:rsidP="00580B7B">
            <w:pPr>
              <w:keepNext/>
              <w:spacing w:after="120"/>
              <w:rPr>
                <w:rFonts w:ascii="Arial" w:hAnsi="Arial" w:cs="Arial"/>
                <w:sz w:val="23"/>
                <w:szCs w:val="23"/>
              </w:rPr>
            </w:pPr>
            <w:r w:rsidRPr="00666A2A">
              <w:rPr>
                <w:rFonts w:ascii="Arial" w:hAnsi="Arial" w:cs="Arial"/>
                <w:sz w:val="23"/>
                <w:szCs w:val="23"/>
              </w:rPr>
              <w:t>7.</w:t>
            </w:r>
          </w:p>
        </w:tc>
        <w:tc>
          <w:tcPr>
            <w:tcW w:w="9639" w:type="dxa"/>
          </w:tcPr>
          <w:p w14:paraId="32F6CFE6" w14:textId="6DC7CAC3" w:rsidR="00411419" w:rsidRPr="00666A2A" w:rsidRDefault="00411419"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41928C30" w14:textId="7089B522" w:rsidR="00411419"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411419" w:rsidRPr="00666A2A" w14:paraId="76251D5E" w14:textId="77777777" w:rsidTr="003C781F">
        <w:tc>
          <w:tcPr>
            <w:tcW w:w="562" w:type="dxa"/>
          </w:tcPr>
          <w:p w14:paraId="34934E98" w14:textId="556A1AC0" w:rsidR="00411419" w:rsidRPr="00666A2A" w:rsidRDefault="00411419"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123AFB7B" w14:textId="587D8F53" w:rsidR="00411419" w:rsidRPr="00666A2A" w:rsidRDefault="00411419" w:rsidP="00580B7B">
            <w:pPr>
              <w:spacing w:after="120"/>
              <w:rPr>
                <w:rFonts w:ascii="Arial" w:hAnsi="Arial" w:cs="Arial"/>
                <w:sz w:val="23"/>
                <w:szCs w:val="23"/>
                <w:lang w:val="en-GB"/>
              </w:rPr>
            </w:pPr>
            <w:r w:rsidRPr="00666A2A">
              <w:rPr>
                <w:rFonts w:ascii="Arial" w:hAnsi="Arial" w:cs="Arial"/>
                <w:sz w:val="23"/>
                <w:szCs w:val="23"/>
              </w:rPr>
              <w:t>FSCA</w:t>
            </w:r>
          </w:p>
        </w:tc>
        <w:tc>
          <w:tcPr>
            <w:tcW w:w="1418" w:type="dxa"/>
          </w:tcPr>
          <w:p w14:paraId="7BCE647D" w14:textId="6DDC75AC" w:rsidR="00411419" w:rsidRPr="00666A2A" w:rsidRDefault="00D65561" w:rsidP="00580B7B">
            <w:pPr>
              <w:keepNext/>
              <w:spacing w:after="120"/>
              <w:rPr>
                <w:rFonts w:ascii="Arial" w:hAnsi="Arial" w:cs="Arial"/>
                <w:sz w:val="23"/>
                <w:szCs w:val="23"/>
              </w:rPr>
            </w:pPr>
            <w:r w:rsidRPr="00666A2A">
              <w:rPr>
                <w:rFonts w:ascii="Arial" w:hAnsi="Arial" w:cs="Arial"/>
                <w:sz w:val="23"/>
                <w:szCs w:val="23"/>
              </w:rPr>
              <w:t>7.</w:t>
            </w:r>
          </w:p>
        </w:tc>
        <w:tc>
          <w:tcPr>
            <w:tcW w:w="9639" w:type="dxa"/>
          </w:tcPr>
          <w:p w14:paraId="37F20233" w14:textId="519A2B32" w:rsidR="00411419" w:rsidRPr="00666A2A" w:rsidRDefault="00411419" w:rsidP="00A1617C">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 comment.</w:t>
            </w:r>
          </w:p>
        </w:tc>
        <w:tc>
          <w:tcPr>
            <w:tcW w:w="7229" w:type="dxa"/>
          </w:tcPr>
          <w:p w14:paraId="1450ADB8" w14:textId="35364B1E" w:rsidR="00411419"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411419" w:rsidRPr="00666A2A" w14:paraId="23018C97" w14:textId="77777777" w:rsidTr="003C781F">
        <w:tc>
          <w:tcPr>
            <w:tcW w:w="562" w:type="dxa"/>
          </w:tcPr>
          <w:p w14:paraId="09113B76" w14:textId="7DDDF01E" w:rsidR="00411419" w:rsidRPr="00666A2A" w:rsidRDefault="00411419"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7522C880" w14:textId="011007FC" w:rsidR="00411419" w:rsidRPr="00666A2A" w:rsidRDefault="00411419" w:rsidP="00580B7B">
            <w:pPr>
              <w:spacing w:after="120"/>
              <w:rPr>
                <w:rFonts w:ascii="Arial" w:hAnsi="Arial" w:cs="Arial"/>
                <w:sz w:val="23"/>
                <w:szCs w:val="23"/>
                <w:lang w:val="en-GB"/>
              </w:rPr>
            </w:pPr>
            <w:r w:rsidRPr="00666A2A">
              <w:rPr>
                <w:rFonts w:ascii="Arial" w:hAnsi="Arial" w:cs="Arial"/>
                <w:sz w:val="23"/>
                <w:szCs w:val="23"/>
              </w:rPr>
              <w:t>ICMA</w:t>
            </w:r>
            <w:r w:rsidR="007A1DD4" w:rsidRPr="00666A2A">
              <w:rPr>
                <w:rFonts w:ascii="Arial" w:hAnsi="Arial" w:cs="Arial"/>
                <w:sz w:val="23"/>
                <w:szCs w:val="23"/>
              </w:rPr>
              <w:t xml:space="preserve"> and ISLA</w:t>
            </w:r>
          </w:p>
        </w:tc>
        <w:tc>
          <w:tcPr>
            <w:tcW w:w="1418" w:type="dxa"/>
            <w:shd w:val="clear" w:color="auto" w:fill="auto"/>
          </w:tcPr>
          <w:p w14:paraId="5272BDE6" w14:textId="07B58CB9" w:rsidR="00411419" w:rsidRPr="00666A2A" w:rsidRDefault="00D65561" w:rsidP="00580B7B">
            <w:pPr>
              <w:keepNext/>
              <w:spacing w:after="120"/>
              <w:rPr>
                <w:rFonts w:ascii="Arial" w:hAnsi="Arial" w:cs="Arial"/>
                <w:sz w:val="23"/>
                <w:szCs w:val="23"/>
              </w:rPr>
            </w:pPr>
            <w:r w:rsidRPr="00666A2A">
              <w:rPr>
                <w:rFonts w:ascii="Arial" w:hAnsi="Arial" w:cs="Arial"/>
                <w:sz w:val="23"/>
                <w:szCs w:val="23"/>
              </w:rPr>
              <w:t>7.</w:t>
            </w:r>
          </w:p>
        </w:tc>
        <w:tc>
          <w:tcPr>
            <w:tcW w:w="9639" w:type="dxa"/>
            <w:shd w:val="clear" w:color="auto" w:fill="auto"/>
          </w:tcPr>
          <w:p w14:paraId="16EC13DF" w14:textId="5FABA3FF" w:rsidR="00411419" w:rsidRPr="00666A2A" w:rsidRDefault="00411419"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4CD85A00" w14:textId="06F269FE" w:rsidR="00411419"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411419" w:rsidRPr="00666A2A" w14:paraId="7C4CDCCF" w14:textId="77777777" w:rsidTr="003C781F">
        <w:tc>
          <w:tcPr>
            <w:tcW w:w="562" w:type="dxa"/>
          </w:tcPr>
          <w:p w14:paraId="2C8E0244" w14:textId="50018817" w:rsidR="00411419" w:rsidRPr="00666A2A" w:rsidRDefault="00411419"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5EF9B029" w14:textId="4AC87765" w:rsidR="00411419" w:rsidRPr="00666A2A" w:rsidRDefault="00411419" w:rsidP="00580B7B">
            <w:pPr>
              <w:spacing w:after="120"/>
              <w:rPr>
                <w:rFonts w:ascii="Arial" w:hAnsi="Arial" w:cs="Arial"/>
                <w:sz w:val="23"/>
                <w:szCs w:val="23"/>
                <w:lang w:val="en-GB"/>
              </w:rPr>
            </w:pPr>
            <w:r w:rsidRPr="00666A2A">
              <w:rPr>
                <w:rFonts w:ascii="Arial" w:hAnsi="Arial" w:cs="Arial"/>
                <w:sz w:val="23"/>
                <w:szCs w:val="23"/>
              </w:rPr>
              <w:t>ISDA</w:t>
            </w:r>
          </w:p>
        </w:tc>
        <w:tc>
          <w:tcPr>
            <w:tcW w:w="1418" w:type="dxa"/>
          </w:tcPr>
          <w:p w14:paraId="2BE7FD59" w14:textId="4D7B01E9" w:rsidR="00411419" w:rsidRPr="00666A2A" w:rsidRDefault="00D65561" w:rsidP="00580B7B">
            <w:pPr>
              <w:keepNext/>
              <w:spacing w:after="120"/>
              <w:rPr>
                <w:rFonts w:ascii="Arial" w:hAnsi="Arial" w:cs="Arial"/>
                <w:sz w:val="23"/>
                <w:szCs w:val="23"/>
              </w:rPr>
            </w:pPr>
            <w:r w:rsidRPr="00666A2A">
              <w:rPr>
                <w:rFonts w:ascii="Arial" w:hAnsi="Arial" w:cs="Arial"/>
                <w:sz w:val="23"/>
                <w:szCs w:val="23"/>
              </w:rPr>
              <w:t>7.</w:t>
            </w:r>
          </w:p>
        </w:tc>
        <w:tc>
          <w:tcPr>
            <w:tcW w:w="9639" w:type="dxa"/>
          </w:tcPr>
          <w:p w14:paraId="7DEEFABF" w14:textId="7E8C6274" w:rsidR="00411419" w:rsidRPr="00666A2A" w:rsidRDefault="00411419"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54167329" w14:textId="3235C215" w:rsidR="00411419"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411419" w:rsidRPr="00666A2A" w14:paraId="1964A3F0" w14:textId="77777777" w:rsidTr="003C781F">
        <w:tc>
          <w:tcPr>
            <w:tcW w:w="562" w:type="dxa"/>
            <w:shd w:val="clear" w:color="auto" w:fill="FFFFFF" w:themeFill="background1"/>
          </w:tcPr>
          <w:p w14:paraId="18BE294D" w14:textId="708B810B" w:rsidR="00411419" w:rsidRPr="00666A2A" w:rsidRDefault="00411419"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FFFFFF" w:themeFill="background1"/>
          </w:tcPr>
          <w:p w14:paraId="52431F87" w14:textId="07992999" w:rsidR="00411419" w:rsidRPr="00666A2A" w:rsidRDefault="00411419" w:rsidP="00580B7B">
            <w:pPr>
              <w:spacing w:after="120"/>
              <w:ind w:hanging="5"/>
              <w:rPr>
                <w:rFonts w:ascii="Arial" w:hAnsi="Arial" w:cs="Arial"/>
                <w:sz w:val="23"/>
                <w:szCs w:val="23"/>
                <w:lang w:val="en-GB"/>
              </w:rPr>
            </w:pPr>
            <w:r w:rsidRPr="00666A2A">
              <w:rPr>
                <w:rFonts w:ascii="Arial" w:hAnsi="Arial" w:cs="Arial"/>
                <w:sz w:val="23"/>
                <w:szCs w:val="23"/>
              </w:rPr>
              <w:t>Nedbank</w:t>
            </w:r>
          </w:p>
        </w:tc>
        <w:tc>
          <w:tcPr>
            <w:tcW w:w="1418" w:type="dxa"/>
            <w:shd w:val="clear" w:color="auto" w:fill="FFFFFF" w:themeFill="background1"/>
          </w:tcPr>
          <w:p w14:paraId="741D4C7D" w14:textId="7A4967FE" w:rsidR="00411419" w:rsidRPr="00666A2A" w:rsidRDefault="00D65561" w:rsidP="00580B7B">
            <w:pPr>
              <w:keepNext/>
              <w:spacing w:after="120"/>
              <w:rPr>
                <w:rFonts w:ascii="Arial" w:hAnsi="Arial" w:cs="Arial"/>
                <w:sz w:val="23"/>
                <w:szCs w:val="23"/>
              </w:rPr>
            </w:pPr>
            <w:r w:rsidRPr="00666A2A">
              <w:rPr>
                <w:rFonts w:ascii="Arial" w:hAnsi="Arial" w:cs="Arial"/>
                <w:sz w:val="23"/>
                <w:szCs w:val="23"/>
              </w:rPr>
              <w:t>7.</w:t>
            </w:r>
          </w:p>
        </w:tc>
        <w:tc>
          <w:tcPr>
            <w:tcW w:w="9639" w:type="dxa"/>
            <w:shd w:val="clear" w:color="auto" w:fill="FFFFFF" w:themeFill="background1"/>
          </w:tcPr>
          <w:p w14:paraId="230C5E6F" w14:textId="7F32D220" w:rsidR="00411419" w:rsidRPr="00666A2A" w:rsidRDefault="00411419"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shd w:val="clear" w:color="auto" w:fill="FFFFFF" w:themeFill="background1"/>
          </w:tcPr>
          <w:p w14:paraId="2C8F8817" w14:textId="652C0BA0" w:rsidR="00411419"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411419" w:rsidRPr="00666A2A" w14:paraId="74A4C5DC" w14:textId="77777777" w:rsidTr="003C781F">
        <w:tc>
          <w:tcPr>
            <w:tcW w:w="562" w:type="dxa"/>
            <w:shd w:val="clear" w:color="auto" w:fill="FFFFFF" w:themeFill="background1"/>
          </w:tcPr>
          <w:p w14:paraId="0F4CE1B6" w14:textId="57BA57A8" w:rsidR="00411419" w:rsidRPr="00666A2A" w:rsidRDefault="00411419"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FFFFFF" w:themeFill="background1"/>
          </w:tcPr>
          <w:p w14:paraId="137BB8D8" w14:textId="19DD8623" w:rsidR="00411419" w:rsidRPr="00666A2A" w:rsidRDefault="00411419" w:rsidP="00580B7B">
            <w:pPr>
              <w:spacing w:after="120"/>
              <w:rPr>
                <w:rFonts w:ascii="Arial" w:hAnsi="Arial" w:cs="Arial"/>
                <w:sz w:val="23"/>
                <w:szCs w:val="23"/>
                <w:lang w:val="en-GB"/>
              </w:rPr>
            </w:pPr>
            <w:r w:rsidRPr="00666A2A">
              <w:rPr>
                <w:rFonts w:ascii="Arial" w:hAnsi="Arial" w:cs="Arial"/>
                <w:sz w:val="23"/>
                <w:szCs w:val="23"/>
              </w:rPr>
              <w:t>SASLA</w:t>
            </w:r>
          </w:p>
        </w:tc>
        <w:tc>
          <w:tcPr>
            <w:tcW w:w="1418" w:type="dxa"/>
            <w:shd w:val="clear" w:color="auto" w:fill="FFFFFF" w:themeFill="background1"/>
          </w:tcPr>
          <w:p w14:paraId="0C6EF304" w14:textId="17D6A659" w:rsidR="00411419" w:rsidRPr="00666A2A" w:rsidRDefault="00D65561" w:rsidP="00580B7B">
            <w:pPr>
              <w:keepNext/>
              <w:spacing w:after="120"/>
              <w:rPr>
                <w:rFonts w:ascii="Arial" w:hAnsi="Arial" w:cs="Arial"/>
                <w:sz w:val="23"/>
                <w:szCs w:val="23"/>
              </w:rPr>
            </w:pPr>
            <w:r w:rsidRPr="00666A2A">
              <w:rPr>
                <w:rFonts w:ascii="Arial" w:hAnsi="Arial" w:cs="Arial"/>
                <w:sz w:val="23"/>
                <w:szCs w:val="23"/>
              </w:rPr>
              <w:t>7.1.</w:t>
            </w:r>
          </w:p>
        </w:tc>
        <w:tc>
          <w:tcPr>
            <w:tcW w:w="9639" w:type="dxa"/>
            <w:shd w:val="clear" w:color="auto" w:fill="FFFFFF" w:themeFill="background1"/>
          </w:tcPr>
          <w:p w14:paraId="176D8AF1" w14:textId="755A60E4" w:rsidR="00411419" w:rsidRPr="00666A2A" w:rsidRDefault="00D65561" w:rsidP="00A1617C">
            <w:pPr>
              <w:spacing w:after="120"/>
              <w:jc w:val="both"/>
              <w:rPr>
                <w:rFonts w:ascii="Arial" w:hAnsi="Arial" w:cs="Arial"/>
                <w:sz w:val="23"/>
                <w:szCs w:val="23"/>
              </w:rPr>
            </w:pPr>
            <w:r w:rsidRPr="00666A2A">
              <w:rPr>
                <w:rFonts w:ascii="Arial" w:hAnsi="Arial" w:cs="Arial"/>
                <w:bCs/>
                <w:sz w:val="23"/>
                <w:szCs w:val="23"/>
              </w:rPr>
              <w:t>This paragraph says the same thing as paragraph 6.1.</w:t>
            </w:r>
          </w:p>
        </w:tc>
        <w:tc>
          <w:tcPr>
            <w:tcW w:w="7229" w:type="dxa"/>
            <w:shd w:val="clear" w:color="auto" w:fill="FFFFFF" w:themeFill="background1"/>
          </w:tcPr>
          <w:p w14:paraId="6077F2A6" w14:textId="388DC055" w:rsidR="00411419" w:rsidRPr="00666A2A" w:rsidRDefault="00013241"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The comment is noted. We are of the view that while the paragraphs in question are closely aligned, they differ in, albeit marginally, in that paragraph 6.1 merely requires the adoption of the contractual recognition approach,</w:t>
            </w:r>
            <w:r w:rsidR="005531D5" w:rsidRPr="00666A2A">
              <w:rPr>
                <w:rFonts w:ascii="Arial" w:eastAsia="Times New Roman" w:hAnsi="Arial" w:cs="Arial"/>
                <w:sz w:val="23"/>
                <w:szCs w:val="23"/>
                <w:lang w:val="en-GB"/>
              </w:rPr>
              <w:t xml:space="preserve"> while</w:t>
            </w:r>
            <w:r w:rsidRPr="00666A2A">
              <w:rPr>
                <w:rFonts w:ascii="Arial" w:eastAsia="Times New Roman" w:hAnsi="Arial" w:cs="Arial"/>
                <w:sz w:val="23"/>
                <w:szCs w:val="23"/>
                <w:lang w:val="en-GB"/>
              </w:rPr>
              <w:t xml:space="preserve"> paragraph 7.1 addresses the practical aspect of the contractual recognition approach.</w:t>
            </w:r>
          </w:p>
        </w:tc>
      </w:tr>
      <w:tr w:rsidR="00D65561" w:rsidRPr="00666A2A" w14:paraId="24DA1D65" w14:textId="77777777" w:rsidTr="003C781F">
        <w:tc>
          <w:tcPr>
            <w:tcW w:w="562" w:type="dxa"/>
            <w:shd w:val="clear" w:color="auto" w:fill="FFFFFF" w:themeFill="background1"/>
          </w:tcPr>
          <w:p w14:paraId="3E993D35" w14:textId="77777777"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FFFFFF" w:themeFill="background1"/>
          </w:tcPr>
          <w:p w14:paraId="17CDEC9A" w14:textId="670DB843" w:rsidR="00D65561" w:rsidRPr="00666A2A" w:rsidRDefault="00D65561" w:rsidP="00580B7B">
            <w:pPr>
              <w:spacing w:after="120"/>
              <w:rPr>
                <w:rFonts w:ascii="Arial" w:hAnsi="Arial" w:cs="Arial"/>
                <w:sz w:val="23"/>
                <w:szCs w:val="23"/>
              </w:rPr>
            </w:pPr>
            <w:r w:rsidRPr="00666A2A">
              <w:rPr>
                <w:rFonts w:ascii="Arial" w:hAnsi="Arial" w:cs="Arial"/>
                <w:sz w:val="23"/>
                <w:szCs w:val="23"/>
              </w:rPr>
              <w:t>SASLA</w:t>
            </w:r>
          </w:p>
        </w:tc>
        <w:tc>
          <w:tcPr>
            <w:tcW w:w="1418" w:type="dxa"/>
            <w:shd w:val="clear" w:color="auto" w:fill="FFFFFF" w:themeFill="background1"/>
          </w:tcPr>
          <w:p w14:paraId="51FA9B53" w14:textId="02D91BF6" w:rsidR="00D65561" w:rsidRPr="00666A2A" w:rsidRDefault="00D65561" w:rsidP="00580B7B">
            <w:pPr>
              <w:keepNext/>
              <w:spacing w:after="120"/>
              <w:rPr>
                <w:rFonts w:ascii="Arial" w:hAnsi="Arial" w:cs="Arial"/>
                <w:sz w:val="23"/>
                <w:szCs w:val="23"/>
              </w:rPr>
            </w:pPr>
            <w:r w:rsidRPr="00666A2A">
              <w:rPr>
                <w:rFonts w:ascii="Arial" w:hAnsi="Arial" w:cs="Arial"/>
                <w:sz w:val="23"/>
                <w:szCs w:val="23"/>
              </w:rPr>
              <w:t>7.3.</w:t>
            </w:r>
          </w:p>
        </w:tc>
        <w:tc>
          <w:tcPr>
            <w:tcW w:w="9639" w:type="dxa"/>
            <w:shd w:val="clear" w:color="auto" w:fill="FFFFFF" w:themeFill="background1"/>
          </w:tcPr>
          <w:p w14:paraId="16258EA7" w14:textId="5EA66C94" w:rsidR="00D65561" w:rsidRPr="00666A2A" w:rsidRDefault="00D65561" w:rsidP="00A1617C">
            <w:pPr>
              <w:spacing w:after="120"/>
              <w:jc w:val="both"/>
              <w:rPr>
                <w:rFonts w:ascii="Arial" w:hAnsi="Arial" w:cs="Arial"/>
                <w:bCs/>
                <w:sz w:val="23"/>
                <w:szCs w:val="23"/>
              </w:rPr>
            </w:pPr>
            <w:r w:rsidRPr="00666A2A">
              <w:rPr>
                <w:rFonts w:ascii="Arial" w:hAnsi="Arial" w:cs="Arial"/>
                <w:bCs/>
                <w:sz w:val="23"/>
                <w:szCs w:val="23"/>
              </w:rPr>
              <w:t>This paragraph should refer to covered contracts.</w:t>
            </w:r>
          </w:p>
        </w:tc>
        <w:tc>
          <w:tcPr>
            <w:tcW w:w="7229" w:type="dxa"/>
            <w:shd w:val="clear" w:color="auto" w:fill="FFFFFF" w:themeFill="background1"/>
          </w:tcPr>
          <w:p w14:paraId="39DE6BCB" w14:textId="79FFBD77" w:rsidR="00D65561" w:rsidRPr="00666A2A" w:rsidRDefault="00013241"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The </w:t>
            </w:r>
            <w:r w:rsidR="005531D5"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has been amended in line with the comment.</w:t>
            </w:r>
          </w:p>
        </w:tc>
      </w:tr>
      <w:tr w:rsidR="00411419" w:rsidRPr="00666A2A" w14:paraId="00407FBD" w14:textId="77777777" w:rsidTr="003C781F">
        <w:tc>
          <w:tcPr>
            <w:tcW w:w="562" w:type="dxa"/>
            <w:shd w:val="clear" w:color="auto" w:fill="FFFFFF" w:themeFill="background1"/>
          </w:tcPr>
          <w:p w14:paraId="79C6ACCD" w14:textId="3CBA34C0" w:rsidR="00411419" w:rsidRPr="00666A2A" w:rsidRDefault="00411419"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FFFFFF" w:themeFill="background1"/>
          </w:tcPr>
          <w:p w14:paraId="55E030A1" w14:textId="626F9EFD" w:rsidR="00411419" w:rsidRPr="00666A2A" w:rsidRDefault="00411419" w:rsidP="00580B7B">
            <w:pPr>
              <w:spacing w:after="120"/>
              <w:rPr>
                <w:rFonts w:ascii="Arial" w:hAnsi="Arial" w:cs="Arial"/>
                <w:sz w:val="23"/>
                <w:szCs w:val="23"/>
                <w:lang w:val="en-GB"/>
              </w:rPr>
            </w:pPr>
            <w:r w:rsidRPr="00666A2A">
              <w:rPr>
                <w:rFonts w:ascii="Arial" w:hAnsi="Arial" w:cs="Arial"/>
                <w:sz w:val="23"/>
                <w:szCs w:val="23"/>
              </w:rPr>
              <w:t>SBG</w:t>
            </w:r>
          </w:p>
        </w:tc>
        <w:tc>
          <w:tcPr>
            <w:tcW w:w="1418" w:type="dxa"/>
            <w:shd w:val="clear" w:color="auto" w:fill="FFFFFF" w:themeFill="background1"/>
          </w:tcPr>
          <w:p w14:paraId="14B66995" w14:textId="200C10BD" w:rsidR="00411419" w:rsidRPr="00666A2A" w:rsidRDefault="00D65561" w:rsidP="00580B7B">
            <w:pPr>
              <w:keepNext/>
              <w:spacing w:after="120"/>
              <w:rPr>
                <w:rFonts w:ascii="Arial" w:hAnsi="Arial" w:cs="Arial"/>
                <w:sz w:val="23"/>
                <w:szCs w:val="23"/>
              </w:rPr>
            </w:pPr>
            <w:r w:rsidRPr="00666A2A">
              <w:rPr>
                <w:rFonts w:ascii="Arial" w:hAnsi="Arial" w:cs="Arial"/>
                <w:sz w:val="23"/>
                <w:szCs w:val="23"/>
              </w:rPr>
              <w:t>7.</w:t>
            </w:r>
          </w:p>
        </w:tc>
        <w:tc>
          <w:tcPr>
            <w:tcW w:w="9639" w:type="dxa"/>
            <w:shd w:val="clear" w:color="auto" w:fill="FFFFFF" w:themeFill="background1"/>
          </w:tcPr>
          <w:p w14:paraId="6F79E9EB" w14:textId="2B2956C9" w:rsidR="00411419" w:rsidRPr="00666A2A" w:rsidRDefault="00D65561" w:rsidP="00A1617C">
            <w:pPr>
              <w:keepNext/>
              <w:spacing w:after="120"/>
              <w:jc w:val="both"/>
              <w:rPr>
                <w:rFonts w:ascii="Arial" w:hAnsi="Arial" w:cs="Arial"/>
                <w:sz w:val="23"/>
                <w:szCs w:val="23"/>
              </w:rPr>
            </w:pPr>
            <w:r w:rsidRPr="00666A2A">
              <w:rPr>
                <w:rFonts w:ascii="Arial" w:hAnsi="Arial" w:cs="Arial"/>
                <w:sz w:val="23"/>
                <w:szCs w:val="23"/>
              </w:rPr>
              <w:t>No comment.</w:t>
            </w:r>
          </w:p>
        </w:tc>
        <w:tc>
          <w:tcPr>
            <w:tcW w:w="7229" w:type="dxa"/>
            <w:shd w:val="clear" w:color="auto" w:fill="FFFFFF" w:themeFill="background1"/>
          </w:tcPr>
          <w:p w14:paraId="330FCD37" w14:textId="1D9D7737" w:rsidR="00411419"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B3FD7" w:rsidRPr="00666A2A" w14:paraId="45C1F5A5" w14:textId="3D3EDD32" w:rsidTr="00437B4A">
        <w:tc>
          <w:tcPr>
            <w:tcW w:w="20691" w:type="dxa"/>
            <w:gridSpan w:val="5"/>
            <w:shd w:val="clear" w:color="auto" w:fill="auto"/>
          </w:tcPr>
          <w:p w14:paraId="2FB88A00" w14:textId="2FCBD6CA" w:rsidR="007B3FD7" w:rsidRPr="00666A2A" w:rsidRDefault="007B3FD7" w:rsidP="00A1617C">
            <w:pPr>
              <w:tabs>
                <w:tab w:val="left" w:pos="172"/>
              </w:tabs>
              <w:spacing w:before="120" w:after="120"/>
              <w:jc w:val="center"/>
              <w:rPr>
                <w:rFonts w:ascii="Arial" w:hAnsi="Arial" w:cs="Arial"/>
                <w:b/>
                <w:sz w:val="23"/>
                <w:szCs w:val="23"/>
                <w:lang w:val="en-GB"/>
              </w:rPr>
            </w:pPr>
            <w:r w:rsidRPr="00666A2A">
              <w:rPr>
                <w:rFonts w:ascii="Arial" w:hAnsi="Arial" w:cs="Arial"/>
                <w:b/>
                <w:sz w:val="23"/>
                <w:szCs w:val="23"/>
                <w:lang w:val="en-GB"/>
              </w:rPr>
              <w:t>Governance requirements</w:t>
            </w:r>
          </w:p>
        </w:tc>
      </w:tr>
      <w:tr w:rsidR="00D65561" w:rsidRPr="00666A2A" w14:paraId="55E3F1B3" w14:textId="5592FCBD" w:rsidTr="003C781F">
        <w:tc>
          <w:tcPr>
            <w:tcW w:w="562" w:type="dxa"/>
          </w:tcPr>
          <w:p w14:paraId="3CF9A617" w14:textId="63980496"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744EBCF5" w14:textId="1E6D1AD0"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rPr>
              <w:t>BASA</w:t>
            </w:r>
          </w:p>
        </w:tc>
        <w:tc>
          <w:tcPr>
            <w:tcW w:w="1418" w:type="dxa"/>
          </w:tcPr>
          <w:p w14:paraId="50659074" w14:textId="0267AC8F"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lang w:val="en-GB"/>
              </w:rPr>
              <w:t>8.2.</w:t>
            </w:r>
          </w:p>
        </w:tc>
        <w:tc>
          <w:tcPr>
            <w:tcW w:w="9639" w:type="dxa"/>
          </w:tcPr>
          <w:p w14:paraId="0B159438" w14:textId="25FC696C"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rPr>
              <w:t>What is meant by “in a timely manner”?</w:t>
            </w:r>
          </w:p>
        </w:tc>
        <w:tc>
          <w:tcPr>
            <w:tcW w:w="7229" w:type="dxa"/>
          </w:tcPr>
          <w:p w14:paraId="02F6B73B" w14:textId="1F4A6FD6" w:rsidR="00D65561" w:rsidRPr="00666A2A" w:rsidRDefault="00613060" w:rsidP="00580B7B">
            <w:pPr>
              <w:spacing w:after="120"/>
              <w:jc w:val="both"/>
              <w:rPr>
                <w:rFonts w:ascii="Arial" w:hAnsi="Arial" w:cs="Arial"/>
                <w:sz w:val="23"/>
                <w:szCs w:val="23"/>
                <w:lang w:val="en-GB"/>
              </w:rPr>
            </w:pPr>
            <w:r w:rsidRPr="00666A2A">
              <w:rPr>
                <w:rFonts w:ascii="Arial" w:hAnsi="Arial" w:cs="Arial"/>
                <w:sz w:val="23"/>
                <w:szCs w:val="23"/>
                <w:lang w:val="en-GB"/>
              </w:rPr>
              <w:t>The phrase is meant to be case dependent</w:t>
            </w:r>
            <w:r w:rsidR="00F406FE" w:rsidRPr="00666A2A">
              <w:rPr>
                <w:rFonts w:ascii="Arial" w:hAnsi="Arial" w:cs="Arial"/>
                <w:sz w:val="23"/>
                <w:szCs w:val="23"/>
                <w:lang w:val="en-GB"/>
              </w:rPr>
              <w:t xml:space="preserve"> and has the ordinary meaning which means </w:t>
            </w:r>
            <w:r w:rsidR="00906BC5" w:rsidRPr="00666A2A">
              <w:rPr>
                <w:rFonts w:ascii="Arial" w:hAnsi="Arial" w:cs="Arial"/>
                <w:sz w:val="23"/>
                <w:szCs w:val="23"/>
                <w:lang w:val="en-GB"/>
              </w:rPr>
              <w:t>“</w:t>
            </w:r>
            <w:r w:rsidR="00F406FE" w:rsidRPr="00666A2A">
              <w:rPr>
                <w:rFonts w:ascii="Arial" w:hAnsi="Arial" w:cs="Arial"/>
                <w:i/>
                <w:iCs/>
                <w:sz w:val="23"/>
                <w:szCs w:val="23"/>
                <w:lang w:val="en-GB"/>
              </w:rPr>
              <w:t xml:space="preserve">to </w:t>
            </w:r>
            <w:r w:rsidR="00906BC5" w:rsidRPr="00666A2A">
              <w:rPr>
                <w:rFonts w:ascii="Arial" w:hAnsi="Arial" w:cs="Arial"/>
                <w:i/>
                <w:iCs/>
                <w:sz w:val="23"/>
                <w:szCs w:val="23"/>
                <w:lang w:val="en-GB"/>
              </w:rPr>
              <w:t>complete/perform with</w:t>
            </w:r>
            <w:r w:rsidR="00F406FE" w:rsidRPr="00666A2A">
              <w:rPr>
                <w:rFonts w:ascii="Arial" w:hAnsi="Arial" w:cs="Arial"/>
                <w:i/>
                <w:iCs/>
                <w:sz w:val="23"/>
                <w:szCs w:val="23"/>
                <w:lang w:val="en-GB"/>
              </w:rPr>
              <w:t>in the required time</w:t>
            </w:r>
            <w:r w:rsidR="00906BC5" w:rsidRPr="00666A2A">
              <w:rPr>
                <w:rFonts w:ascii="Arial" w:hAnsi="Arial" w:cs="Arial"/>
                <w:sz w:val="23"/>
                <w:szCs w:val="23"/>
                <w:lang w:val="en-GB"/>
              </w:rPr>
              <w:t>”</w:t>
            </w:r>
            <w:r w:rsidR="00F406FE" w:rsidRPr="00666A2A">
              <w:rPr>
                <w:rFonts w:ascii="Arial" w:hAnsi="Arial" w:cs="Arial"/>
                <w:sz w:val="23"/>
                <w:szCs w:val="23"/>
                <w:lang w:val="en-GB"/>
              </w:rPr>
              <w:t>.</w:t>
            </w:r>
          </w:p>
        </w:tc>
      </w:tr>
      <w:tr w:rsidR="00D65561" w:rsidRPr="00666A2A" w14:paraId="55E46A8C" w14:textId="77777777" w:rsidTr="003C781F">
        <w:tc>
          <w:tcPr>
            <w:tcW w:w="562" w:type="dxa"/>
          </w:tcPr>
          <w:p w14:paraId="1E35D342" w14:textId="4490791D"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11F658AE" w14:textId="5AAA4D71" w:rsidR="00D65561" w:rsidRPr="00666A2A" w:rsidRDefault="00D65561" w:rsidP="00580B7B">
            <w:pPr>
              <w:spacing w:after="120"/>
              <w:rPr>
                <w:rFonts w:ascii="Arial" w:hAnsi="Arial" w:cs="Arial"/>
                <w:sz w:val="23"/>
                <w:szCs w:val="23"/>
                <w:lang w:val="en-GB"/>
              </w:rPr>
            </w:pPr>
            <w:r w:rsidRPr="00666A2A">
              <w:rPr>
                <w:rFonts w:ascii="Arial" w:hAnsi="Arial" w:cs="Arial"/>
                <w:sz w:val="23"/>
                <w:szCs w:val="23"/>
              </w:rPr>
              <w:t>BOCA</w:t>
            </w:r>
          </w:p>
        </w:tc>
        <w:tc>
          <w:tcPr>
            <w:tcW w:w="1418" w:type="dxa"/>
          </w:tcPr>
          <w:p w14:paraId="32B4CC8D" w14:textId="63BAF0AF" w:rsidR="00D65561" w:rsidRPr="00666A2A" w:rsidRDefault="00D65561" w:rsidP="00580B7B">
            <w:pPr>
              <w:spacing w:after="120"/>
              <w:rPr>
                <w:rFonts w:ascii="Arial" w:hAnsi="Arial" w:cs="Arial"/>
                <w:sz w:val="23"/>
                <w:szCs w:val="23"/>
                <w:lang w:val="en-GB"/>
              </w:rPr>
            </w:pPr>
            <w:r w:rsidRPr="00666A2A">
              <w:rPr>
                <w:rFonts w:ascii="Arial" w:hAnsi="Arial" w:cs="Arial"/>
                <w:sz w:val="23"/>
                <w:szCs w:val="23"/>
                <w:lang w:val="en-GB"/>
              </w:rPr>
              <w:t>8.</w:t>
            </w:r>
          </w:p>
        </w:tc>
        <w:tc>
          <w:tcPr>
            <w:tcW w:w="9639" w:type="dxa"/>
          </w:tcPr>
          <w:p w14:paraId="5D17FFAF" w14:textId="314A7EDA" w:rsidR="00D65561" w:rsidRPr="00666A2A" w:rsidRDefault="00D65561" w:rsidP="00580B7B">
            <w:pPr>
              <w:spacing w:after="120"/>
              <w:rPr>
                <w:rFonts w:ascii="Arial" w:eastAsia="Times New Roman" w:hAnsi="Arial" w:cs="Arial"/>
                <w:sz w:val="23"/>
                <w:szCs w:val="23"/>
                <w:lang w:val="en-GB"/>
              </w:rPr>
            </w:pPr>
            <w:r w:rsidRPr="00666A2A">
              <w:rPr>
                <w:rFonts w:ascii="Arial" w:eastAsia="Times New Roman" w:hAnsi="Arial" w:cs="Arial"/>
                <w:sz w:val="23"/>
                <w:szCs w:val="23"/>
                <w:lang w:val="en-GB"/>
              </w:rPr>
              <w:t>No comment.</w:t>
            </w:r>
          </w:p>
        </w:tc>
        <w:tc>
          <w:tcPr>
            <w:tcW w:w="7229" w:type="dxa"/>
          </w:tcPr>
          <w:p w14:paraId="7CB8BAD5" w14:textId="0898C94C" w:rsidR="00D65561"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65561" w:rsidRPr="00666A2A" w14:paraId="43C149C2" w14:textId="77777777" w:rsidTr="003C781F">
        <w:tc>
          <w:tcPr>
            <w:tcW w:w="562" w:type="dxa"/>
            <w:shd w:val="clear" w:color="auto" w:fill="FFFFFF" w:themeFill="background1"/>
          </w:tcPr>
          <w:p w14:paraId="6C69FD65" w14:textId="1D94F3AB"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FFFFFF" w:themeFill="background1"/>
          </w:tcPr>
          <w:p w14:paraId="392AF112" w14:textId="5269C483" w:rsidR="00D65561" w:rsidRPr="00666A2A" w:rsidRDefault="00D65561" w:rsidP="00580B7B">
            <w:pPr>
              <w:spacing w:after="120"/>
              <w:rPr>
                <w:rFonts w:ascii="Arial" w:hAnsi="Arial" w:cs="Arial"/>
                <w:sz w:val="23"/>
                <w:szCs w:val="23"/>
                <w:lang w:val="en-GB"/>
              </w:rPr>
            </w:pPr>
            <w:r w:rsidRPr="00666A2A">
              <w:rPr>
                <w:rFonts w:ascii="Arial" w:hAnsi="Arial" w:cs="Arial"/>
                <w:sz w:val="23"/>
                <w:szCs w:val="23"/>
              </w:rPr>
              <w:t>FSCA</w:t>
            </w:r>
          </w:p>
        </w:tc>
        <w:tc>
          <w:tcPr>
            <w:tcW w:w="1418" w:type="dxa"/>
            <w:shd w:val="clear" w:color="auto" w:fill="FFFFFF" w:themeFill="background1"/>
          </w:tcPr>
          <w:p w14:paraId="3F6F103D" w14:textId="28810F60" w:rsidR="00D65561" w:rsidRPr="00666A2A" w:rsidRDefault="00D65561" w:rsidP="00580B7B">
            <w:pPr>
              <w:spacing w:after="120"/>
              <w:rPr>
                <w:rFonts w:ascii="Arial" w:hAnsi="Arial" w:cs="Arial"/>
                <w:sz w:val="23"/>
                <w:szCs w:val="23"/>
              </w:rPr>
            </w:pPr>
            <w:r w:rsidRPr="00666A2A">
              <w:rPr>
                <w:rFonts w:ascii="Arial" w:hAnsi="Arial" w:cs="Arial"/>
                <w:sz w:val="23"/>
                <w:szCs w:val="23"/>
              </w:rPr>
              <w:t>8.</w:t>
            </w:r>
          </w:p>
        </w:tc>
        <w:tc>
          <w:tcPr>
            <w:tcW w:w="9639" w:type="dxa"/>
            <w:shd w:val="clear" w:color="auto" w:fill="FFFFFF" w:themeFill="background1"/>
          </w:tcPr>
          <w:p w14:paraId="22CEBFB1" w14:textId="2DC826F1" w:rsidR="00D65561" w:rsidRPr="00666A2A" w:rsidRDefault="00D65561" w:rsidP="00580B7B">
            <w:pPr>
              <w:spacing w:after="120"/>
              <w:rPr>
                <w:rFonts w:ascii="Arial" w:hAnsi="Arial" w:cs="Arial"/>
                <w:sz w:val="23"/>
                <w:szCs w:val="23"/>
              </w:rPr>
            </w:pPr>
            <w:r w:rsidRPr="00666A2A">
              <w:rPr>
                <w:rFonts w:ascii="Arial" w:hAnsi="Arial" w:cs="Arial"/>
                <w:sz w:val="23"/>
                <w:szCs w:val="23"/>
              </w:rPr>
              <w:t>No comment.</w:t>
            </w:r>
          </w:p>
        </w:tc>
        <w:tc>
          <w:tcPr>
            <w:tcW w:w="7229" w:type="dxa"/>
            <w:shd w:val="clear" w:color="auto" w:fill="FFFFFF" w:themeFill="background1"/>
          </w:tcPr>
          <w:p w14:paraId="709CA05F" w14:textId="77970D6A" w:rsidR="00D65561"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65561" w:rsidRPr="00666A2A" w14:paraId="12D1F208" w14:textId="77777777" w:rsidTr="003C781F">
        <w:tc>
          <w:tcPr>
            <w:tcW w:w="562" w:type="dxa"/>
          </w:tcPr>
          <w:p w14:paraId="4BBBB240" w14:textId="1A42BCCE"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7AB2110C" w14:textId="7ABADEAB" w:rsidR="00D65561" w:rsidRPr="00666A2A" w:rsidRDefault="00D65561" w:rsidP="00580B7B">
            <w:pPr>
              <w:spacing w:after="120"/>
              <w:rPr>
                <w:rFonts w:ascii="Arial" w:hAnsi="Arial" w:cs="Arial"/>
                <w:sz w:val="23"/>
                <w:szCs w:val="23"/>
                <w:lang w:val="en-GB"/>
              </w:rPr>
            </w:pPr>
            <w:r w:rsidRPr="00666A2A">
              <w:rPr>
                <w:rFonts w:ascii="Arial" w:hAnsi="Arial" w:cs="Arial"/>
                <w:sz w:val="23"/>
                <w:szCs w:val="23"/>
              </w:rPr>
              <w:t>ICMA</w:t>
            </w:r>
            <w:r w:rsidR="007A1DD4" w:rsidRPr="00666A2A">
              <w:rPr>
                <w:rFonts w:ascii="Arial" w:hAnsi="Arial" w:cs="Arial"/>
                <w:sz w:val="23"/>
                <w:szCs w:val="23"/>
              </w:rPr>
              <w:t xml:space="preserve"> and ISLA</w:t>
            </w:r>
          </w:p>
        </w:tc>
        <w:tc>
          <w:tcPr>
            <w:tcW w:w="1418" w:type="dxa"/>
          </w:tcPr>
          <w:p w14:paraId="1C44E45C" w14:textId="44BEB844" w:rsidR="00D65561" w:rsidRPr="00666A2A" w:rsidRDefault="00D65561" w:rsidP="00580B7B">
            <w:pPr>
              <w:spacing w:after="120"/>
              <w:rPr>
                <w:rFonts w:ascii="Arial" w:hAnsi="Arial" w:cs="Arial"/>
                <w:sz w:val="23"/>
                <w:szCs w:val="23"/>
              </w:rPr>
            </w:pPr>
            <w:r w:rsidRPr="00666A2A">
              <w:rPr>
                <w:rFonts w:ascii="Arial" w:hAnsi="Arial" w:cs="Arial"/>
                <w:sz w:val="23"/>
                <w:szCs w:val="23"/>
              </w:rPr>
              <w:t>8.</w:t>
            </w:r>
          </w:p>
        </w:tc>
        <w:tc>
          <w:tcPr>
            <w:tcW w:w="9639" w:type="dxa"/>
          </w:tcPr>
          <w:p w14:paraId="19F95F96" w14:textId="5A4EE81D" w:rsidR="00D65561" w:rsidRPr="00666A2A" w:rsidRDefault="00D65561" w:rsidP="00580B7B">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0ED4BFE2" w14:textId="6E3785C2" w:rsidR="00D65561"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65561" w:rsidRPr="00666A2A" w14:paraId="5324FF44" w14:textId="77777777" w:rsidTr="003C781F">
        <w:tc>
          <w:tcPr>
            <w:tcW w:w="562" w:type="dxa"/>
          </w:tcPr>
          <w:p w14:paraId="4ADDB846" w14:textId="131B893B"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36F34094" w14:textId="04131C27"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rPr>
              <w:t>ISDA</w:t>
            </w:r>
          </w:p>
        </w:tc>
        <w:tc>
          <w:tcPr>
            <w:tcW w:w="1418" w:type="dxa"/>
          </w:tcPr>
          <w:p w14:paraId="2D013DDE" w14:textId="42A9F5D9"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lang w:val="en-GB"/>
              </w:rPr>
              <w:t>8.</w:t>
            </w:r>
          </w:p>
        </w:tc>
        <w:tc>
          <w:tcPr>
            <w:tcW w:w="9639" w:type="dxa"/>
          </w:tcPr>
          <w:p w14:paraId="23AF27CB" w14:textId="3E0BB88D"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lang w:val="en-GB"/>
              </w:rPr>
              <w:t>No comment.</w:t>
            </w:r>
          </w:p>
        </w:tc>
        <w:tc>
          <w:tcPr>
            <w:tcW w:w="7229" w:type="dxa"/>
          </w:tcPr>
          <w:p w14:paraId="11966ECA" w14:textId="7F1BF69E" w:rsidR="00D65561" w:rsidRPr="00666A2A" w:rsidRDefault="00F56670" w:rsidP="00580B7B">
            <w:pPr>
              <w:spacing w:after="120"/>
              <w:jc w:val="both"/>
              <w:rPr>
                <w:rFonts w:ascii="Arial" w:hAnsi="Arial" w:cs="Arial"/>
                <w:sz w:val="23"/>
                <w:szCs w:val="23"/>
                <w:lang w:val="en-GB"/>
              </w:rPr>
            </w:pPr>
            <w:r w:rsidRPr="00666A2A">
              <w:rPr>
                <w:rFonts w:ascii="Arial" w:hAnsi="Arial" w:cs="Arial"/>
                <w:sz w:val="23"/>
                <w:szCs w:val="23"/>
                <w:lang w:val="en-GB"/>
              </w:rPr>
              <w:t>Noted.</w:t>
            </w:r>
          </w:p>
        </w:tc>
      </w:tr>
      <w:tr w:rsidR="00D65561" w:rsidRPr="00666A2A" w14:paraId="7F8D7DA1" w14:textId="77777777" w:rsidTr="003C781F">
        <w:tc>
          <w:tcPr>
            <w:tcW w:w="562" w:type="dxa"/>
          </w:tcPr>
          <w:p w14:paraId="4D61C345" w14:textId="5322A0FA"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3A8D19AA" w14:textId="6C2BC7C0"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rPr>
              <w:t>Nedbank</w:t>
            </w:r>
          </w:p>
        </w:tc>
        <w:tc>
          <w:tcPr>
            <w:tcW w:w="1418" w:type="dxa"/>
          </w:tcPr>
          <w:p w14:paraId="521E624D" w14:textId="50899671"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lang w:val="en-GB"/>
              </w:rPr>
              <w:t>8.</w:t>
            </w:r>
          </w:p>
        </w:tc>
        <w:tc>
          <w:tcPr>
            <w:tcW w:w="9639" w:type="dxa"/>
          </w:tcPr>
          <w:p w14:paraId="72AE121D" w14:textId="0AB3BA59"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lang w:val="en-GB"/>
              </w:rPr>
              <w:t>No comment.</w:t>
            </w:r>
          </w:p>
        </w:tc>
        <w:tc>
          <w:tcPr>
            <w:tcW w:w="7229" w:type="dxa"/>
          </w:tcPr>
          <w:p w14:paraId="1AF9E331" w14:textId="70FEF61B" w:rsidR="00D65561" w:rsidRPr="00666A2A" w:rsidRDefault="00F56670" w:rsidP="00580B7B">
            <w:pPr>
              <w:spacing w:after="120"/>
              <w:jc w:val="both"/>
              <w:rPr>
                <w:rFonts w:ascii="Arial" w:hAnsi="Arial" w:cs="Arial"/>
                <w:sz w:val="23"/>
                <w:szCs w:val="23"/>
                <w:lang w:val="en-GB"/>
              </w:rPr>
            </w:pPr>
            <w:r w:rsidRPr="00666A2A">
              <w:rPr>
                <w:rFonts w:ascii="Arial" w:hAnsi="Arial" w:cs="Arial"/>
                <w:sz w:val="23"/>
                <w:szCs w:val="23"/>
                <w:lang w:val="en-GB"/>
              </w:rPr>
              <w:t>Noted.</w:t>
            </w:r>
          </w:p>
        </w:tc>
      </w:tr>
      <w:tr w:rsidR="00D65561" w:rsidRPr="00666A2A" w14:paraId="5714BC5E" w14:textId="77777777" w:rsidTr="003C781F">
        <w:tc>
          <w:tcPr>
            <w:tcW w:w="562" w:type="dxa"/>
          </w:tcPr>
          <w:p w14:paraId="7219777B" w14:textId="22D24B24"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56099C66" w14:textId="669B0ACE"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rPr>
              <w:t>SASLA</w:t>
            </w:r>
          </w:p>
        </w:tc>
        <w:tc>
          <w:tcPr>
            <w:tcW w:w="1418" w:type="dxa"/>
          </w:tcPr>
          <w:p w14:paraId="2BB4F2A8" w14:textId="1E385F2E"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lang w:val="en-GB"/>
              </w:rPr>
              <w:t>8.</w:t>
            </w:r>
          </w:p>
        </w:tc>
        <w:tc>
          <w:tcPr>
            <w:tcW w:w="9639" w:type="dxa"/>
          </w:tcPr>
          <w:p w14:paraId="57CDEA6D" w14:textId="695184D1" w:rsidR="00D65561" w:rsidRPr="00666A2A" w:rsidRDefault="00D65561" w:rsidP="00580B7B">
            <w:pPr>
              <w:pStyle w:val="ListParagraph"/>
              <w:spacing w:after="120" w:line="276" w:lineRule="auto"/>
              <w:ind w:left="360" w:hanging="360"/>
              <w:rPr>
                <w:rFonts w:ascii="Arial" w:hAnsi="Arial" w:cs="Arial"/>
                <w:sz w:val="23"/>
                <w:szCs w:val="23"/>
                <w:lang w:val="en-GB"/>
              </w:rPr>
            </w:pPr>
            <w:r w:rsidRPr="00666A2A">
              <w:rPr>
                <w:rFonts w:ascii="Arial" w:hAnsi="Arial" w:cs="Arial"/>
                <w:sz w:val="23"/>
                <w:szCs w:val="23"/>
                <w:lang w:val="en-GB"/>
              </w:rPr>
              <w:t>No comment.</w:t>
            </w:r>
          </w:p>
        </w:tc>
        <w:tc>
          <w:tcPr>
            <w:tcW w:w="7229" w:type="dxa"/>
          </w:tcPr>
          <w:p w14:paraId="11A737CF" w14:textId="5FBDBD9B" w:rsidR="00D65561" w:rsidRPr="00666A2A" w:rsidRDefault="00F56670" w:rsidP="00580B7B">
            <w:pPr>
              <w:spacing w:after="120"/>
              <w:jc w:val="both"/>
              <w:rPr>
                <w:rFonts w:ascii="Arial" w:hAnsi="Arial" w:cs="Arial"/>
                <w:sz w:val="23"/>
                <w:szCs w:val="23"/>
                <w:lang w:val="en-GB"/>
              </w:rPr>
            </w:pPr>
            <w:r w:rsidRPr="00666A2A">
              <w:rPr>
                <w:rFonts w:ascii="Arial" w:hAnsi="Arial" w:cs="Arial"/>
                <w:sz w:val="23"/>
                <w:szCs w:val="23"/>
                <w:lang w:val="en-GB"/>
              </w:rPr>
              <w:t>Noted.</w:t>
            </w:r>
          </w:p>
        </w:tc>
      </w:tr>
      <w:tr w:rsidR="00D65561" w:rsidRPr="00666A2A" w14:paraId="791D360E" w14:textId="77777777" w:rsidTr="003C781F">
        <w:tc>
          <w:tcPr>
            <w:tcW w:w="562" w:type="dxa"/>
          </w:tcPr>
          <w:p w14:paraId="518B3684" w14:textId="1FAE64BB"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4B75405" w14:textId="64FA7CFD"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rPr>
              <w:t>SBG</w:t>
            </w:r>
          </w:p>
        </w:tc>
        <w:tc>
          <w:tcPr>
            <w:tcW w:w="1418" w:type="dxa"/>
          </w:tcPr>
          <w:p w14:paraId="681F3D7F" w14:textId="132AB1FC" w:rsidR="00D65561" w:rsidRPr="00666A2A" w:rsidRDefault="00D65561" w:rsidP="00580B7B">
            <w:pPr>
              <w:spacing w:after="120"/>
              <w:jc w:val="both"/>
              <w:rPr>
                <w:rFonts w:ascii="Arial" w:hAnsi="Arial" w:cs="Arial"/>
                <w:sz w:val="23"/>
                <w:szCs w:val="23"/>
                <w:lang w:val="en-GB"/>
              </w:rPr>
            </w:pPr>
            <w:r w:rsidRPr="00666A2A">
              <w:rPr>
                <w:rFonts w:ascii="Arial" w:hAnsi="Arial" w:cs="Arial"/>
                <w:sz w:val="23"/>
                <w:szCs w:val="23"/>
                <w:lang w:val="en-GB"/>
              </w:rPr>
              <w:t>8.</w:t>
            </w:r>
          </w:p>
        </w:tc>
        <w:tc>
          <w:tcPr>
            <w:tcW w:w="9639" w:type="dxa"/>
          </w:tcPr>
          <w:p w14:paraId="118730BE" w14:textId="026DD0F1" w:rsidR="00D65561" w:rsidRPr="00666A2A" w:rsidRDefault="00D65561" w:rsidP="00580B7B">
            <w:pPr>
              <w:pStyle w:val="ListParagraph"/>
              <w:spacing w:after="120" w:line="276" w:lineRule="auto"/>
              <w:ind w:left="360" w:hanging="360"/>
              <w:rPr>
                <w:rFonts w:ascii="Arial" w:hAnsi="Arial" w:cs="Arial"/>
                <w:sz w:val="23"/>
                <w:szCs w:val="23"/>
                <w:lang w:val="en-GB"/>
              </w:rPr>
            </w:pPr>
            <w:r w:rsidRPr="00666A2A">
              <w:rPr>
                <w:rFonts w:ascii="Arial" w:hAnsi="Arial" w:cs="Arial"/>
                <w:sz w:val="23"/>
                <w:szCs w:val="23"/>
                <w:lang w:val="en-GB"/>
              </w:rPr>
              <w:t>No comment.</w:t>
            </w:r>
          </w:p>
        </w:tc>
        <w:tc>
          <w:tcPr>
            <w:tcW w:w="7229" w:type="dxa"/>
          </w:tcPr>
          <w:p w14:paraId="0A65A951" w14:textId="47EB6A44" w:rsidR="00D65561" w:rsidRPr="00666A2A" w:rsidRDefault="00F56670" w:rsidP="00580B7B">
            <w:pPr>
              <w:spacing w:after="120"/>
              <w:jc w:val="both"/>
              <w:rPr>
                <w:rFonts w:ascii="Arial" w:hAnsi="Arial" w:cs="Arial"/>
                <w:sz w:val="23"/>
                <w:szCs w:val="23"/>
                <w:lang w:val="en-GB"/>
              </w:rPr>
            </w:pPr>
            <w:r w:rsidRPr="00666A2A">
              <w:rPr>
                <w:rFonts w:ascii="Arial" w:hAnsi="Arial" w:cs="Arial"/>
                <w:sz w:val="23"/>
                <w:szCs w:val="23"/>
                <w:lang w:val="en-GB"/>
              </w:rPr>
              <w:t>Noted.</w:t>
            </w:r>
          </w:p>
        </w:tc>
      </w:tr>
      <w:tr w:rsidR="00D65561" w:rsidRPr="00666A2A" w14:paraId="27253A5B" w14:textId="603B0462" w:rsidTr="00437B4A">
        <w:tc>
          <w:tcPr>
            <w:tcW w:w="20691" w:type="dxa"/>
            <w:gridSpan w:val="5"/>
            <w:shd w:val="clear" w:color="auto" w:fill="auto"/>
          </w:tcPr>
          <w:p w14:paraId="532416D7" w14:textId="7462FA00" w:rsidR="00D65561" w:rsidRPr="00666A2A" w:rsidRDefault="00D65561" w:rsidP="00A1617C">
            <w:pPr>
              <w:spacing w:before="120" w:after="120"/>
              <w:jc w:val="center"/>
              <w:rPr>
                <w:rFonts w:ascii="Arial" w:hAnsi="Arial" w:cs="Arial"/>
                <w:b/>
                <w:sz w:val="23"/>
                <w:szCs w:val="23"/>
                <w:lang w:val="en-GB"/>
              </w:rPr>
            </w:pPr>
            <w:r w:rsidRPr="00666A2A">
              <w:rPr>
                <w:rFonts w:ascii="Arial" w:hAnsi="Arial" w:cs="Arial"/>
                <w:b/>
                <w:sz w:val="23"/>
                <w:szCs w:val="23"/>
                <w:lang w:val="en-GB"/>
              </w:rPr>
              <w:t>General compliance requirements</w:t>
            </w:r>
          </w:p>
        </w:tc>
      </w:tr>
      <w:tr w:rsidR="00D65561" w:rsidRPr="00666A2A" w14:paraId="5B31B8F2" w14:textId="77777777" w:rsidTr="003C781F">
        <w:tc>
          <w:tcPr>
            <w:tcW w:w="562" w:type="dxa"/>
          </w:tcPr>
          <w:p w14:paraId="1FC85C4E" w14:textId="2CBE63C8"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489E670" w14:textId="72CAE206" w:rsidR="00D65561" w:rsidRPr="00666A2A" w:rsidRDefault="00D65561" w:rsidP="00580B7B">
            <w:pPr>
              <w:pStyle w:val="ListParagraph"/>
              <w:tabs>
                <w:tab w:val="left" w:pos="172"/>
              </w:tabs>
              <w:spacing w:after="120" w:line="276" w:lineRule="auto"/>
              <w:ind w:left="0"/>
              <w:rPr>
                <w:rFonts w:ascii="Arial" w:hAnsi="Arial" w:cs="Arial"/>
                <w:bCs/>
                <w:sz w:val="23"/>
                <w:szCs w:val="23"/>
                <w:lang w:val="en-GB"/>
              </w:rPr>
            </w:pPr>
            <w:r w:rsidRPr="00666A2A">
              <w:rPr>
                <w:rFonts w:ascii="Arial" w:hAnsi="Arial" w:cs="Arial"/>
                <w:bCs/>
                <w:sz w:val="23"/>
                <w:szCs w:val="23"/>
                <w:lang w:val="en-GB"/>
              </w:rPr>
              <w:t>BASA</w:t>
            </w:r>
          </w:p>
        </w:tc>
        <w:tc>
          <w:tcPr>
            <w:tcW w:w="1418" w:type="dxa"/>
          </w:tcPr>
          <w:p w14:paraId="195A492E" w14:textId="2E6B23B4" w:rsidR="00D65561" w:rsidRPr="00666A2A" w:rsidRDefault="00EE5AF9" w:rsidP="00580B7B">
            <w:pPr>
              <w:spacing w:after="120"/>
              <w:rPr>
                <w:rFonts w:ascii="Arial" w:hAnsi="Arial" w:cs="Arial"/>
                <w:sz w:val="23"/>
                <w:szCs w:val="23"/>
              </w:rPr>
            </w:pPr>
            <w:r w:rsidRPr="00666A2A">
              <w:rPr>
                <w:rFonts w:ascii="Arial" w:hAnsi="Arial" w:cs="Arial"/>
                <w:sz w:val="23"/>
                <w:szCs w:val="23"/>
              </w:rPr>
              <w:t>9.2.</w:t>
            </w:r>
          </w:p>
        </w:tc>
        <w:tc>
          <w:tcPr>
            <w:tcW w:w="9639" w:type="dxa"/>
          </w:tcPr>
          <w:p w14:paraId="37B6322B" w14:textId="560AF312" w:rsidR="00D65561" w:rsidRPr="00666A2A" w:rsidRDefault="00EE5AF9" w:rsidP="00580B7B">
            <w:pPr>
              <w:spacing w:after="120"/>
              <w:jc w:val="both"/>
              <w:rPr>
                <w:rFonts w:ascii="Arial" w:hAnsi="Arial" w:cs="Arial"/>
                <w:sz w:val="23"/>
                <w:szCs w:val="23"/>
              </w:rPr>
            </w:pPr>
            <w:r w:rsidRPr="00666A2A">
              <w:rPr>
                <w:rFonts w:ascii="Arial" w:hAnsi="Arial" w:cs="Arial"/>
                <w:sz w:val="23"/>
                <w:szCs w:val="23"/>
              </w:rPr>
              <w:t>It is unclear as to what would constitute non-compliance with the standard. Is it that after the phase-in period one contract that should have included clauses to amend the contract has not? Does it matter if best efforts (multiple reaches out to clients were undertaken and requirements explained)?</w:t>
            </w:r>
          </w:p>
        </w:tc>
        <w:tc>
          <w:tcPr>
            <w:tcW w:w="7229" w:type="dxa"/>
          </w:tcPr>
          <w:p w14:paraId="63AF67E5" w14:textId="0CAEC712" w:rsidR="00D65561" w:rsidRPr="00666A2A" w:rsidRDefault="00F406FE"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phrase bears the ordinary meaning. The </w:t>
            </w:r>
            <w:r w:rsidR="001C5327"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does not make provision for best efforts in the context of compliance. The test for compliance will be an objective test</w:t>
            </w:r>
          </w:p>
        </w:tc>
      </w:tr>
      <w:tr w:rsidR="00EE5AF9" w:rsidRPr="00666A2A" w14:paraId="390ACE77" w14:textId="77777777" w:rsidTr="003C781F">
        <w:tc>
          <w:tcPr>
            <w:tcW w:w="562" w:type="dxa"/>
          </w:tcPr>
          <w:p w14:paraId="19629351" w14:textId="77777777" w:rsidR="00EE5AF9" w:rsidRPr="00666A2A" w:rsidRDefault="00EE5AF9"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75BA4E9C" w14:textId="38CBF10C" w:rsidR="00EE5AF9" w:rsidRPr="00666A2A" w:rsidRDefault="005C2688" w:rsidP="00580B7B">
            <w:pPr>
              <w:pStyle w:val="ListParagraph"/>
              <w:tabs>
                <w:tab w:val="left" w:pos="172"/>
              </w:tabs>
              <w:spacing w:after="120" w:line="276" w:lineRule="auto"/>
              <w:ind w:left="0"/>
              <w:rPr>
                <w:rFonts w:ascii="Arial" w:hAnsi="Arial" w:cs="Arial"/>
                <w:bCs/>
                <w:sz w:val="23"/>
                <w:szCs w:val="23"/>
                <w:lang w:val="en-GB"/>
              </w:rPr>
            </w:pPr>
            <w:r w:rsidRPr="00666A2A">
              <w:rPr>
                <w:rFonts w:ascii="Arial" w:hAnsi="Arial" w:cs="Arial"/>
                <w:bCs/>
                <w:sz w:val="23"/>
                <w:szCs w:val="23"/>
                <w:lang w:val="en-GB"/>
              </w:rPr>
              <w:t>BASA</w:t>
            </w:r>
          </w:p>
        </w:tc>
        <w:tc>
          <w:tcPr>
            <w:tcW w:w="1418" w:type="dxa"/>
          </w:tcPr>
          <w:p w14:paraId="07669BC1" w14:textId="4420624D" w:rsidR="00EE5AF9" w:rsidRPr="00666A2A" w:rsidRDefault="00EE5AF9" w:rsidP="00580B7B">
            <w:pPr>
              <w:spacing w:after="120"/>
              <w:rPr>
                <w:rFonts w:ascii="Arial" w:hAnsi="Arial" w:cs="Arial"/>
                <w:sz w:val="23"/>
                <w:szCs w:val="23"/>
              </w:rPr>
            </w:pPr>
            <w:r w:rsidRPr="00666A2A">
              <w:rPr>
                <w:rFonts w:ascii="Arial" w:hAnsi="Arial" w:cs="Arial"/>
                <w:sz w:val="23"/>
                <w:szCs w:val="23"/>
              </w:rPr>
              <w:t>9.2.</w:t>
            </w:r>
          </w:p>
        </w:tc>
        <w:tc>
          <w:tcPr>
            <w:tcW w:w="9639" w:type="dxa"/>
          </w:tcPr>
          <w:p w14:paraId="5C449232" w14:textId="77777777" w:rsidR="00EE5AF9" w:rsidRPr="00666A2A" w:rsidRDefault="00EE5AF9" w:rsidP="00580B7B">
            <w:pPr>
              <w:spacing w:after="120"/>
              <w:jc w:val="both"/>
              <w:rPr>
                <w:rFonts w:ascii="Arial" w:hAnsi="Arial" w:cs="Arial"/>
                <w:sz w:val="23"/>
                <w:szCs w:val="23"/>
              </w:rPr>
            </w:pPr>
            <w:r w:rsidRPr="00666A2A">
              <w:rPr>
                <w:rFonts w:ascii="Arial" w:hAnsi="Arial" w:cs="Arial"/>
                <w:sz w:val="23"/>
                <w:szCs w:val="23"/>
              </w:rPr>
              <w:t xml:space="preserve">The actions listed under section 9.2 are severe relative to the risk introduced to financial stability: </w:t>
            </w:r>
          </w:p>
          <w:p w14:paraId="6EF74A32" w14:textId="76B14B91" w:rsidR="00EE5AF9" w:rsidRPr="00666A2A" w:rsidRDefault="00EE5AF9" w:rsidP="00580B7B">
            <w:pPr>
              <w:pStyle w:val="ListParagraph"/>
              <w:numPr>
                <w:ilvl w:val="0"/>
                <w:numId w:val="3"/>
              </w:numPr>
              <w:spacing w:after="120" w:line="276" w:lineRule="auto"/>
              <w:jc w:val="both"/>
              <w:rPr>
                <w:rFonts w:ascii="Arial" w:hAnsi="Arial" w:cs="Arial"/>
                <w:sz w:val="23"/>
                <w:szCs w:val="23"/>
              </w:rPr>
            </w:pPr>
            <w:r w:rsidRPr="00666A2A">
              <w:rPr>
                <w:rFonts w:ascii="Arial" w:hAnsi="Arial" w:cs="Arial"/>
                <w:sz w:val="23"/>
                <w:szCs w:val="23"/>
              </w:rPr>
              <w:lastRenderedPageBreak/>
              <w:t xml:space="preserve">Is the </w:t>
            </w:r>
            <w:proofErr w:type="spellStart"/>
            <w:r w:rsidRPr="00666A2A">
              <w:rPr>
                <w:rFonts w:ascii="Arial" w:hAnsi="Arial" w:cs="Arial"/>
                <w:sz w:val="23"/>
                <w:szCs w:val="23"/>
              </w:rPr>
              <w:t>Flac</w:t>
            </w:r>
            <w:proofErr w:type="spellEnd"/>
            <w:r w:rsidRPr="00666A2A">
              <w:rPr>
                <w:rFonts w:ascii="Arial" w:hAnsi="Arial" w:cs="Arial"/>
                <w:sz w:val="23"/>
                <w:szCs w:val="23"/>
              </w:rPr>
              <w:t xml:space="preserve"> holdings increase a reference to a lower resolvability rebate as stipulated in the “Proposed principles and requirements for </w:t>
            </w:r>
            <w:proofErr w:type="spellStart"/>
            <w:r w:rsidRPr="00666A2A">
              <w:rPr>
                <w:rFonts w:ascii="Arial" w:hAnsi="Arial" w:cs="Arial"/>
                <w:sz w:val="23"/>
                <w:szCs w:val="23"/>
              </w:rPr>
              <w:t>Flac</w:t>
            </w:r>
            <w:proofErr w:type="spellEnd"/>
            <w:r w:rsidRPr="00666A2A">
              <w:rPr>
                <w:rFonts w:ascii="Arial" w:hAnsi="Arial" w:cs="Arial"/>
                <w:sz w:val="23"/>
                <w:szCs w:val="23"/>
              </w:rPr>
              <w:t xml:space="preserve"> instruments” discussion paper? </w:t>
            </w:r>
          </w:p>
          <w:p w14:paraId="181BC83C" w14:textId="0739EFEF" w:rsidR="00EE5AF9" w:rsidRPr="00666A2A" w:rsidRDefault="00EE5AF9" w:rsidP="00580B7B">
            <w:pPr>
              <w:pStyle w:val="ListParagraph"/>
              <w:numPr>
                <w:ilvl w:val="0"/>
                <w:numId w:val="3"/>
              </w:numPr>
              <w:spacing w:after="120" w:line="276" w:lineRule="auto"/>
              <w:jc w:val="both"/>
              <w:rPr>
                <w:rFonts w:ascii="Arial" w:hAnsi="Arial" w:cs="Arial"/>
                <w:sz w:val="23"/>
                <w:szCs w:val="23"/>
              </w:rPr>
            </w:pPr>
            <w:r w:rsidRPr="00666A2A">
              <w:rPr>
                <w:rFonts w:ascii="Arial" w:hAnsi="Arial" w:cs="Arial"/>
                <w:sz w:val="23"/>
                <w:szCs w:val="23"/>
              </w:rPr>
              <w:t>An increase in capital requirements (the increment of which is unclear) is disproportionate to the failure to comply with the Standard, as well as the purpose that the Standard is trying to achieve as increased capital requirements lower profitability and thus erode risk-bearing capacity.</w:t>
            </w:r>
          </w:p>
          <w:p w14:paraId="0671EFF1" w14:textId="3971DDBF" w:rsidR="00EE5AF9" w:rsidRPr="00666A2A" w:rsidRDefault="00EE5AF9" w:rsidP="00580B7B">
            <w:pPr>
              <w:pStyle w:val="ListParagraph"/>
              <w:numPr>
                <w:ilvl w:val="0"/>
                <w:numId w:val="3"/>
              </w:numPr>
              <w:spacing w:after="120" w:line="276" w:lineRule="auto"/>
              <w:jc w:val="both"/>
              <w:rPr>
                <w:rFonts w:ascii="Arial" w:hAnsi="Arial" w:cs="Arial"/>
                <w:sz w:val="23"/>
                <w:szCs w:val="23"/>
              </w:rPr>
            </w:pPr>
            <w:r w:rsidRPr="00666A2A">
              <w:rPr>
                <w:rFonts w:ascii="Arial" w:hAnsi="Arial" w:cs="Arial"/>
                <w:sz w:val="23"/>
                <w:szCs w:val="23"/>
              </w:rPr>
              <w:t xml:space="preserve">Clarification is requested on the reason for the “acceleration in the triggering of resolution” </w:t>
            </w:r>
            <w:proofErr w:type="gramStart"/>
            <w:r w:rsidRPr="00666A2A">
              <w:rPr>
                <w:rFonts w:ascii="Arial" w:hAnsi="Arial" w:cs="Arial"/>
                <w:sz w:val="23"/>
                <w:szCs w:val="23"/>
              </w:rPr>
              <w:t>as a consequence of</w:t>
            </w:r>
            <w:proofErr w:type="gramEnd"/>
            <w:r w:rsidRPr="00666A2A">
              <w:rPr>
                <w:rFonts w:ascii="Arial" w:hAnsi="Arial" w:cs="Arial"/>
                <w:sz w:val="23"/>
                <w:szCs w:val="23"/>
              </w:rPr>
              <w:t xml:space="preserve"> non-compliance.</w:t>
            </w:r>
          </w:p>
        </w:tc>
        <w:tc>
          <w:tcPr>
            <w:tcW w:w="7229" w:type="dxa"/>
          </w:tcPr>
          <w:p w14:paraId="5C0EA633" w14:textId="6B4074AD" w:rsidR="00EE5AF9" w:rsidRPr="00666A2A" w:rsidRDefault="00CA5401"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rPr>
              <w:lastRenderedPageBreak/>
              <w:t>The Authorit</w:t>
            </w:r>
            <w:r w:rsidR="009B73C5" w:rsidRPr="00666A2A">
              <w:rPr>
                <w:rFonts w:ascii="Arial" w:eastAsia="Times New Roman" w:hAnsi="Arial" w:cs="Arial"/>
                <w:sz w:val="23"/>
                <w:szCs w:val="23"/>
              </w:rPr>
              <w:t>ies</w:t>
            </w:r>
            <w:r w:rsidRPr="00666A2A">
              <w:rPr>
                <w:rFonts w:ascii="Arial" w:eastAsia="Times New Roman" w:hAnsi="Arial" w:cs="Arial"/>
                <w:sz w:val="23"/>
                <w:szCs w:val="23"/>
              </w:rPr>
              <w:t xml:space="preserve"> maintains that the proposed consequences for non-compliance with the </w:t>
            </w:r>
            <w:r w:rsidR="001C5327" w:rsidRPr="00666A2A">
              <w:rPr>
                <w:rFonts w:ascii="Arial" w:eastAsia="Times New Roman" w:hAnsi="Arial" w:cs="Arial"/>
                <w:sz w:val="23"/>
                <w:szCs w:val="23"/>
              </w:rPr>
              <w:t>proposed</w:t>
            </w:r>
            <w:r w:rsidRPr="00666A2A">
              <w:rPr>
                <w:rFonts w:ascii="Arial" w:eastAsia="Times New Roman" w:hAnsi="Arial" w:cs="Arial"/>
                <w:sz w:val="23"/>
                <w:szCs w:val="23"/>
              </w:rPr>
              <w:t xml:space="preserve"> Standard are reasonable. The point raised in relation to the resolvability of designated institutions is correct. It is worth noting that the </w:t>
            </w:r>
            <w:r w:rsidR="001C5327" w:rsidRPr="00666A2A">
              <w:rPr>
                <w:rFonts w:ascii="Arial" w:eastAsia="Times New Roman" w:hAnsi="Arial" w:cs="Arial"/>
                <w:sz w:val="23"/>
                <w:szCs w:val="23"/>
              </w:rPr>
              <w:t>proposed</w:t>
            </w:r>
            <w:r w:rsidRPr="00666A2A">
              <w:rPr>
                <w:rFonts w:ascii="Arial" w:eastAsia="Times New Roman" w:hAnsi="Arial" w:cs="Arial"/>
                <w:sz w:val="23"/>
                <w:szCs w:val="23"/>
              </w:rPr>
              <w:t xml:space="preserve"> Standard forms part of a </w:t>
            </w:r>
            <w:r w:rsidRPr="00666A2A">
              <w:rPr>
                <w:rFonts w:ascii="Arial" w:eastAsia="Times New Roman" w:hAnsi="Arial" w:cs="Arial"/>
                <w:sz w:val="23"/>
                <w:szCs w:val="23"/>
              </w:rPr>
              <w:lastRenderedPageBreak/>
              <w:t xml:space="preserve">suite of measures that are being developed to improve the resolvability of designated institutions in the South African market. The acceleration in the triggering of resolution relates to instances where a designated institution that is non-compliant with the requirements under the </w:t>
            </w:r>
            <w:r w:rsidR="001C5327" w:rsidRPr="00666A2A">
              <w:rPr>
                <w:rFonts w:ascii="Arial" w:eastAsia="Times New Roman" w:hAnsi="Arial" w:cs="Arial"/>
                <w:sz w:val="23"/>
                <w:szCs w:val="23"/>
              </w:rPr>
              <w:t>proposed</w:t>
            </w:r>
            <w:r w:rsidRPr="00666A2A">
              <w:rPr>
                <w:rFonts w:ascii="Arial" w:eastAsia="Times New Roman" w:hAnsi="Arial" w:cs="Arial"/>
                <w:sz w:val="23"/>
                <w:szCs w:val="23"/>
              </w:rPr>
              <w:t xml:space="preserve"> Standard is facing challenges given that non-compliance imply lower resolvability.  </w:t>
            </w:r>
          </w:p>
        </w:tc>
      </w:tr>
      <w:tr w:rsidR="00D65561" w:rsidRPr="00666A2A" w14:paraId="77EFB195" w14:textId="77777777" w:rsidTr="003C781F">
        <w:tc>
          <w:tcPr>
            <w:tcW w:w="562" w:type="dxa"/>
          </w:tcPr>
          <w:p w14:paraId="56625171" w14:textId="5A31444C"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14DB4BC6" w14:textId="6C4DF285" w:rsidR="00D65561" w:rsidRPr="00666A2A" w:rsidRDefault="00D65561" w:rsidP="00580B7B">
            <w:pPr>
              <w:spacing w:after="120"/>
              <w:rPr>
                <w:rFonts w:ascii="Arial" w:hAnsi="Arial" w:cs="Arial"/>
                <w:sz w:val="23"/>
                <w:szCs w:val="23"/>
                <w:lang w:val="en-GB"/>
              </w:rPr>
            </w:pPr>
            <w:r w:rsidRPr="00666A2A">
              <w:rPr>
                <w:rFonts w:ascii="Arial" w:hAnsi="Arial" w:cs="Arial"/>
                <w:sz w:val="23"/>
                <w:szCs w:val="23"/>
              </w:rPr>
              <w:t>BOCA</w:t>
            </w:r>
          </w:p>
        </w:tc>
        <w:tc>
          <w:tcPr>
            <w:tcW w:w="1418" w:type="dxa"/>
          </w:tcPr>
          <w:p w14:paraId="3BF697BD" w14:textId="17F69BCA" w:rsidR="00D65561" w:rsidRPr="00666A2A" w:rsidRDefault="004757D3" w:rsidP="00580B7B">
            <w:pPr>
              <w:spacing w:after="120"/>
              <w:rPr>
                <w:rFonts w:ascii="Arial" w:hAnsi="Arial" w:cs="Arial"/>
                <w:sz w:val="23"/>
                <w:szCs w:val="23"/>
                <w:lang w:val="en-GB"/>
              </w:rPr>
            </w:pPr>
            <w:r w:rsidRPr="00666A2A">
              <w:rPr>
                <w:rFonts w:ascii="Arial" w:hAnsi="Arial" w:cs="Arial"/>
                <w:sz w:val="23"/>
                <w:szCs w:val="23"/>
                <w:lang w:val="en-GB"/>
              </w:rPr>
              <w:t>9.</w:t>
            </w:r>
          </w:p>
        </w:tc>
        <w:tc>
          <w:tcPr>
            <w:tcW w:w="9639" w:type="dxa"/>
          </w:tcPr>
          <w:p w14:paraId="7E27F8F6" w14:textId="03F74165" w:rsidR="00D65561" w:rsidRPr="00666A2A" w:rsidRDefault="004757D3" w:rsidP="00580B7B">
            <w:pPr>
              <w:spacing w:after="120"/>
              <w:rPr>
                <w:rFonts w:ascii="Arial" w:eastAsia="Times New Roman" w:hAnsi="Arial" w:cs="Arial"/>
                <w:sz w:val="23"/>
                <w:szCs w:val="23"/>
                <w:lang w:val="en-GB"/>
              </w:rPr>
            </w:pPr>
            <w:r w:rsidRPr="00666A2A">
              <w:rPr>
                <w:rFonts w:ascii="Arial" w:eastAsia="Times New Roman" w:hAnsi="Arial" w:cs="Arial"/>
                <w:sz w:val="23"/>
                <w:szCs w:val="23"/>
                <w:lang w:val="en-GB"/>
              </w:rPr>
              <w:t>No comment.</w:t>
            </w:r>
          </w:p>
        </w:tc>
        <w:tc>
          <w:tcPr>
            <w:tcW w:w="7229" w:type="dxa"/>
          </w:tcPr>
          <w:p w14:paraId="5E86E442" w14:textId="3DC9DB7D" w:rsidR="00D65561"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65561" w:rsidRPr="00666A2A" w14:paraId="1B1AA234" w14:textId="77777777" w:rsidTr="003C781F">
        <w:tc>
          <w:tcPr>
            <w:tcW w:w="562" w:type="dxa"/>
          </w:tcPr>
          <w:p w14:paraId="18DA377E" w14:textId="568AF370"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068FAB87" w14:textId="055DB95A" w:rsidR="00D65561" w:rsidRPr="00666A2A" w:rsidRDefault="00D65561" w:rsidP="00580B7B">
            <w:pPr>
              <w:spacing w:after="120"/>
              <w:rPr>
                <w:rFonts w:ascii="Arial" w:hAnsi="Arial" w:cs="Arial"/>
                <w:sz w:val="23"/>
                <w:szCs w:val="23"/>
                <w:lang w:val="en-GB"/>
              </w:rPr>
            </w:pPr>
            <w:r w:rsidRPr="00666A2A">
              <w:rPr>
                <w:rFonts w:ascii="Arial" w:hAnsi="Arial" w:cs="Arial"/>
                <w:sz w:val="23"/>
                <w:szCs w:val="23"/>
              </w:rPr>
              <w:t>FSCA</w:t>
            </w:r>
          </w:p>
        </w:tc>
        <w:tc>
          <w:tcPr>
            <w:tcW w:w="1418" w:type="dxa"/>
          </w:tcPr>
          <w:p w14:paraId="25EA9F54" w14:textId="164B8FB2" w:rsidR="00D65561" w:rsidRPr="00666A2A" w:rsidRDefault="00EE5AF9" w:rsidP="00580B7B">
            <w:pPr>
              <w:spacing w:after="120"/>
              <w:rPr>
                <w:rFonts w:ascii="Arial" w:hAnsi="Arial" w:cs="Arial"/>
                <w:sz w:val="23"/>
                <w:szCs w:val="23"/>
              </w:rPr>
            </w:pPr>
            <w:r w:rsidRPr="00666A2A">
              <w:rPr>
                <w:rFonts w:ascii="Arial" w:hAnsi="Arial" w:cs="Arial"/>
                <w:sz w:val="23"/>
                <w:szCs w:val="23"/>
              </w:rPr>
              <w:t>9.2(a)</w:t>
            </w:r>
          </w:p>
        </w:tc>
        <w:tc>
          <w:tcPr>
            <w:tcW w:w="9639" w:type="dxa"/>
          </w:tcPr>
          <w:p w14:paraId="34EF16A8" w14:textId="4CF535FE" w:rsidR="00D65561" w:rsidRPr="00666A2A" w:rsidRDefault="00EE5AF9" w:rsidP="00580B7B">
            <w:pPr>
              <w:spacing w:after="120"/>
              <w:rPr>
                <w:rFonts w:ascii="Arial" w:hAnsi="Arial" w:cs="Arial"/>
                <w:sz w:val="23"/>
                <w:szCs w:val="23"/>
              </w:rPr>
            </w:pPr>
            <w:r w:rsidRPr="00666A2A">
              <w:rPr>
                <w:rFonts w:ascii="Arial" w:hAnsi="Arial" w:cs="Arial"/>
                <w:sz w:val="23"/>
                <w:szCs w:val="23"/>
              </w:rPr>
              <w:t>Should the term “</w:t>
            </w:r>
            <w:proofErr w:type="spellStart"/>
            <w:r w:rsidRPr="00666A2A">
              <w:rPr>
                <w:rFonts w:ascii="Arial" w:hAnsi="Arial" w:cs="Arial"/>
                <w:sz w:val="23"/>
                <w:szCs w:val="23"/>
              </w:rPr>
              <w:t>Flac</w:t>
            </w:r>
            <w:proofErr w:type="spellEnd"/>
            <w:r w:rsidRPr="00666A2A">
              <w:rPr>
                <w:rFonts w:ascii="Arial" w:hAnsi="Arial" w:cs="Arial"/>
                <w:sz w:val="23"/>
                <w:szCs w:val="23"/>
              </w:rPr>
              <w:t xml:space="preserve"> instrument” perhaps be defined, or is the general meaning of the term sufficiently understood?</w:t>
            </w:r>
          </w:p>
        </w:tc>
        <w:tc>
          <w:tcPr>
            <w:tcW w:w="7229" w:type="dxa"/>
          </w:tcPr>
          <w:p w14:paraId="53450D43" w14:textId="79765B81" w:rsidR="00D65561" w:rsidRPr="00666A2A" w:rsidRDefault="00E86C18"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The comment is noted. The term is already defined in the Act.</w:t>
            </w:r>
          </w:p>
        </w:tc>
      </w:tr>
      <w:tr w:rsidR="00D65561" w:rsidRPr="00666A2A" w14:paraId="3DE705E3" w14:textId="77777777" w:rsidTr="003C781F">
        <w:tc>
          <w:tcPr>
            <w:tcW w:w="562" w:type="dxa"/>
          </w:tcPr>
          <w:p w14:paraId="417C99C4" w14:textId="7B3EFF2E"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423B8C3" w14:textId="02DB9B17" w:rsidR="00D65561" w:rsidRPr="00666A2A" w:rsidRDefault="00D65561" w:rsidP="00580B7B">
            <w:pPr>
              <w:spacing w:after="120"/>
              <w:rPr>
                <w:rFonts w:ascii="Arial" w:hAnsi="Arial" w:cs="Arial"/>
                <w:sz w:val="23"/>
                <w:szCs w:val="23"/>
                <w:lang w:val="en-GB"/>
              </w:rPr>
            </w:pPr>
            <w:r w:rsidRPr="00666A2A">
              <w:rPr>
                <w:rFonts w:ascii="Arial" w:hAnsi="Arial" w:cs="Arial"/>
                <w:sz w:val="23"/>
                <w:szCs w:val="23"/>
              </w:rPr>
              <w:t>ICMA</w:t>
            </w:r>
            <w:r w:rsidR="007A1DD4" w:rsidRPr="00666A2A">
              <w:rPr>
                <w:rFonts w:ascii="Arial" w:hAnsi="Arial" w:cs="Arial"/>
                <w:sz w:val="23"/>
                <w:szCs w:val="23"/>
              </w:rPr>
              <w:t xml:space="preserve"> and ISLA</w:t>
            </w:r>
          </w:p>
        </w:tc>
        <w:tc>
          <w:tcPr>
            <w:tcW w:w="1418" w:type="dxa"/>
          </w:tcPr>
          <w:p w14:paraId="4973F265" w14:textId="620D048E" w:rsidR="00D65561" w:rsidRPr="00666A2A" w:rsidRDefault="004757D3" w:rsidP="00580B7B">
            <w:pPr>
              <w:spacing w:after="120"/>
              <w:rPr>
                <w:rFonts w:ascii="Arial" w:hAnsi="Arial" w:cs="Arial"/>
                <w:sz w:val="23"/>
                <w:szCs w:val="23"/>
                <w:lang w:val="en-GB"/>
              </w:rPr>
            </w:pPr>
            <w:r w:rsidRPr="00666A2A">
              <w:rPr>
                <w:rFonts w:ascii="Arial" w:hAnsi="Arial" w:cs="Arial"/>
                <w:sz w:val="23"/>
                <w:szCs w:val="23"/>
                <w:lang w:val="en-GB"/>
              </w:rPr>
              <w:t>9.</w:t>
            </w:r>
          </w:p>
        </w:tc>
        <w:tc>
          <w:tcPr>
            <w:tcW w:w="9639" w:type="dxa"/>
          </w:tcPr>
          <w:p w14:paraId="0026F991" w14:textId="13368EF9" w:rsidR="00D65561" w:rsidRPr="00666A2A" w:rsidRDefault="004757D3" w:rsidP="00580B7B">
            <w:pPr>
              <w:spacing w:after="120"/>
              <w:rPr>
                <w:rFonts w:ascii="Arial" w:eastAsia="Times New Roman" w:hAnsi="Arial" w:cs="Arial"/>
                <w:sz w:val="23"/>
                <w:szCs w:val="23"/>
                <w:lang w:val="en-GB"/>
              </w:rPr>
            </w:pPr>
            <w:r w:rsidRPr="00666A2A">
              <w:rPr>
                <w:rFonts w:ascii="Arial" w:eastAsia="Times New Roman" w:hAnsi="Arial" w:cs="Arial"/>
                <w:sz w:val="23"/>
                <w:szCs w:val="23"/>
                <w:lang w:val="en-GB"/>
              </w:rPr>
              <w:t>No comment.</w:t>
            </w:r>
          </w:p>
        </w:tc>
        <w:tc>
          <w:tcPr>
            <w:tcW w:w="7229" w:type="dxa"/>
          </w:tcPr>
          <w:p w14:paraId="7240E03A" w14:textId="104C19C0" w:rsidR="00D65561"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65561" w:rsidRPr="00666A2A" w14:paraId="348F3381" w14:textId="77777777" w:rsidTr="003C781F">
        <w:tc>
          <w:tcPr>
            <w:tcW w:w="562" w:type="dxa"/>
            <w:shd w:val="clear" w:color="auto" w:fill="FFFFFF" w:themeFill="background1"/>
          </w:tcPr>
          <w:p w14:paraId="1CFB367A" w14:textId="5C933293"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FFFFFF" w:themeFill="background1"/>
          </w:tcPr>
          <w:p w14:paraId="6C6599DE" w14:textId="060D73E4" w:rsidR="00D65561" w:rsidRPr="00666A2A" w:rsidRDefault="00D65561" w:rsidP="00580B7B">
            <w:pPr>
              <w:spacing w:after="120"/>
              <w:rPr>
                <w:rFonts w:ascii="Arial" w:hAnsi="Arial" w:cs="Arial"/>
                <w:sz w:val="23"/>
                <w:szCs w:val="23"/>
                <w:lang w:val="en-GB"/>
              </w:rPr>
            </w:pPr>
            <w:r w:rsidRPr="00666A2A">
              <w:rPr>
                <w:rFonts w:ascii="Arial" w:hAnsi="Arial" w:cs="Arial"/>
                <w:sz w:val="23"/>
                <w:szCs w:val="23"/>
              </w:rPr>
              <w:t>ISDA</w:t>
            </w:r>
          </w:p>
        </w:tc>
        <w:tc>
          <w:tcPr>
            <w:tcW w:w="1418" w:type="dxa"/>
            <w:shd w:val="clear" w:color="auto" w:fill="FFFFFF" w:themeFill="background1"/>
          </w:tcPr>
          <w:p w14:paraId="10CCD8A8" w14:textId="61FB7413" w:rsidR="00D65561" w:rsidRPr="00666A2A" w:rsidRDefault="004757D3" w:rsidP="00580B7B">
            <w:pPr>
              <w:spacing w:after="120"/>
              <w:rPr>
                <w:rFonts w:ascii="Arial" w:hAnsi="Arial" w:cs="Arial"/>
                <w:sz w:val="23"/>
                <w:szCs w:val="23"/>
              </w:rPr>
            </w:pPr>
            <w:r w:rsidRPr="00666A2A">
              <w:rPr>
                <w:rFonts w:ascii="Arial" w:hAnsi="Arial" w:cs="Arial"/>
                <w:sz w:val="23"/>
                <w:szCs w:val="23"/>
              </w:rPr>
              <w:t>9.</w:t>
            </w:r>
          </w:p>
        </w:tc>
        <w:tc>
          <w:tcPr>
            <w:tcW w:w="9639" w:type="dxa"/>
            <w:shd w:val="clear" w:color="auto" w:fill="FFFFFF" w:themeFill="background1"/>
          </w:tcPr>
          <w:p w14:paraId="1DA05404" w14:textId="0BD9B831" w:rsidR="00D65561" w:rsidRPr="00666A2A" w:rsidRDefault="004757D3" w:rsidP="00580B7B">
            <w:pPr>
              <w:spacing w:after="120"/>
              <w:rPr>
                <w:rFonts w:ascii="Arial" w:hAnsi="Arial" w:cs="Arial"/>
                <w:sz w:val="23"/>
                <w:szCs w:val="23"/>
              </w:rPr>
            </w:pPr>
            <w:r w:rsidRPr="00666A2A">
              <w:rPr>
                <w:rFonts w:ascii="Arial" w:hAnsi="Arial" w:cs="Arial"/>
                <w:sz w:val="23"/>
                <w:szCs w:val="23"/>
              </w:rPr>
              <w:t>No comment.</w:t>
            </w:r>
          </w:p>
        </w:tc>
        <w:tc>
          <w:tcPr>
            <w:tcW w:w="7229" w:type="dxa"/>
            <w:shd w:val="clear" w:color="auto" w:fill="FFFFFF" w:themeFill="background1"/>
          </w:tcPr>
          <w:p w14:paraId="2AC3CCA9" w14:textId="59362450" w:rsidR="00D65561"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65561" w:rsidRPr="00666A2A" w14:paraId="6EB3AFE4" w14:textId="77777777" w:rsidTr="003C781F">
        <w:tc>
          <w:tcPr>
            <w:tcW w:w="562" w:type="dxa"/>
            <w:shd w:val="clear" w:color="auto" w:fill="FFFFFF" w:themeFill="background1"/>
          </w:tcPr>
          <w:p w14:paraId="25459C74" w14:textId="08FB2287"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shd w:val="clear" w:color="auto" w:fill="FFFFFF" w:themeFill="background1"/>
          </w:tcPr>
          <w:p w14:paraId="7A8FE607" w14:textId="4D23ACB9" w:rsidR="00D65561" w:rsidRPr="00666A2A" w:rsidRDefault="00D65561" w:rsidP="00580B7B">
            <w:pPr>
              <w:spacing w:after="120"/>
              <w:rPr>
                <w:rFonts w:ascii="Arial" w:hAnsi="Arial" w:cs="Arial"/>
                <w:sz w:val="23"/>
                <w:szCs w:val="23"/>
                <w:lang w:val="en-GB"/>
              </w:rPr>
            </w:pPr>
            <w:r w:rsidRPr="00666A2A">
              <w:rPr>
                <w:rFonts w:ascii="Arial" w:hAnsi="Arial" w:cs="Arial"/>
                <w:sz w:val="23"/>
                <w:szCs w:val="23"/>
              </w:rPr>
              <w:t>Nedbank</w:t>
            </w:r>
          </w:p>
        </w:tc>
        <w:tc>
          <w:tcPr>
            <w:tcW w:w="1418" w:type="dxa"/>
            <w:shd w:val="clear" w:color="auto" w:fill="FFFFFF" w:themeFill="background1"/>
          </w:tcPr>
          <w:p w14:paraId="7D789D37" w14:textId="64B9B8EA" w:rsidR="00D65561" w:rsidRPr="00666A2A" w:rsidRDefault="004757D3" w:rsidP="00580B7B">
            <w:pPr>
              <w:spacing w:after="120"/>
              <w:rPr>
                <w:rFonts w:ascii="Arial" w:hAnsi="Arial" w:cs="Arial"/>
                <w:sz w:val="23"/>
                <w:szCs w:val="23"/>
              </w:rPr>
            </w:pPr>
            <w:r w:rsidRPr="00666A2A">
              <w:rPr>
                <w:rFonts w:ascii="Arial" w:hAnsi="Arial" w:cs="Arial"/>
                <w:sz w:val="23"/>
                <w:szCs w:val="23"/>
              </w:rPr>
              <w:t>9.</w:t>
            </w:r>
          </w:p>
        </w:tc>
        <w:tc>
          <w:tcPr>
            <w:tcW w:w="9639" w:type="dxa"/>
            <w:shd w:val="clear" w:color="auto" w:fill="FFFFFF" w:themeFill="background1"/>
          </w:tcPr>
          <w:p w14:paraId="17343ECB" w14:textId="0DFED57E" w:rsidR="00D65561" w:rsidRPr="00666A2A" w:rsidRDefault="004757D3" w:rsidP="00580B7B">
            <w:pPr>
              <w:spacing w:after="120"/>
              <w:rPr>
                <w:rFonts w:ascii="Arial" w:hAnsi="Arial" w:cs="Arial"/>
                <w:sz w:val="23"/>
                <w:szCs w:val="23"/>
              </w:rPr>
            </w:pPr>
            <w:r w:rsidRPr="00666A2A">
              <w:rPr>
                <w:rFonts w:ascii="Arial" w:hAnsi="Arial" w:cs="Arial"/>
                <w:sz w:val="23"/>
                <w:szCs w:val="23"/>
              </w:rPr>
              <w:t>No comment.</w:t>
            </w:r>
          </w:p>
        </w:tc>
        <w:tc>
          <w:tcPr>
            <w:tcW w:w="7229" w:type="dxa"/>
            <w:shd w:val="clear" w:color="auto" w:fill="FFFFFF" w:themeFill="background1"/>
          </w:tcPr>
          <w:p w14:paraId="4A59B64E" w14:textId="58BAEB5D" w:rsidR="00D65561"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65561" w:rsidRPr="00666A2A" w14:paraId="3790F18C" w14:textId="77777777" w:rsidTr="003C781F">
        <w:tc>
          <w:tcPr>
            <w:tcW w:w="562" w:type="dxa"/>
          </w:tcPr>
          <w:p w14:paraId="62D99E38" w14:textId="5824336E"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5197B27E" w14:textId="6CA60634" w:rsidR="00D65561" w:rsidRPr="00666A2A" w:rsidRDefault="00D65561" w:rsidP="00580B7B">
            <w:pPr>
              <w:spacing w:after="120"/>
              <w:rPr>
                <w:rFonts w:ascii="Arial" w:hAnsi="Arial" w:cs="Arial"/>
                <w:sz w:val="23"/>
                <w:szCs w:val="23"/>
                <w:lang w:val="en-GB"/>
              </w:rPr>
            </w:pPr>
            <w:r w:rsidRPr="00666A2A">
              <w:rPr>
                <w:rFonts w:ascii="Arial" w:hAnsi="Arial" w:cs="Arial"/>
                <w:sz w:val="23"/>
                <w:szCs w:val="23"/>
              </w:rPr>
              <w:t>SASLA</w:t>
            </w:r>
          </w:p>
        </w:tc>
        <w:tc>
          <w:tcPr>
            <w:tcW w:w="1418" w:type="dxa"/>
          </w:tcPr>
          <w:p w14:paraId="43A7780B" w14:textId="180E160D" w:rsidR="00D65561" w:rsidRPr="00666A2A" w:rsidRDefault="004757D3" w:rsidP="00580B7B">
            <w:pPr>
              <w:spacing w:after="120"/>
              <w:rPr>
                <w:rFonts w:ascii="Arial" w:hAnsi="Arial" w:cs="Arial"/>
                <w:sz w:val="23"/>
                <w:szCs w:val="23"/>
                <w:lang w:val="en-GB"/>
              </w:rPr>
            </w:pPr>
            <w:r w:rsidRPr="00666A2A">
              <w:rPr>
                <w:rFonts w:ascii="Arial" w:hAnsi="Arial" w:cs="Arial"/>
                <w:sz w:val="23"/>
                <w:szCs w:val="23"/>
                <w:lang w:val="en-GB"/>
              </w:rPr>
              <w:t>9.</w:t>
            </w:r>
          </w:p>
        </w:tc>
        <w:tc>
          <w:tcPr>
            <w:tcW w:w="9639" w:type="dxa"/>
          </w:tcPr>
          <w:p w14:paraId="0AB529E5" w14:textId="11D670FE" w:rsidR="00D65561" w:rsidRPr="00666A2A" w:rsidRDefault="004757D3" w:rsidP="00580B7B">
            <w:pPr>
              <w:spacing w:after="120"/>
              <w:rPr>
                <w:rFonts w:ascii="Arial" w:eastAsia="Times New Roman" w:hAnsi="Arial" w:cs="Arial"/>
                <w:sz w:val="23"/>
                <w:szCs w:val="23"/>
                <w:lang w:val="en-GB"/>
              </w:rPr>
            </w:pPr>
            <w:r w:rsidRPr="00666A2A">
              <w:rPr>
                <w:rFonts w:ascii="Arial" w:eastAsia="Times New Roman" w:hAnsi="Arial" w:cs="Arial"/>
                <w:sz w:val="23"/>
                <w:szCs w:val="23"/>
                <w:lang w:val="en-GB"/>
              </w:rPr>
              <w:t>No comment.</w:t>
            </w:r>
          </w:p>
        </w:tc>
        <w:tc>
          <w:tcPr>
            <w:tcW w:w="7229" w:type="dxa"/>
          </w:tcPr>
          <w:p w14:paraId="6314FF3F" w14:textId="214EEED3" w:rsidR="00D65561"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D65561" w:rsidRPr="00666A2A" w14:paraId="7DBF373B" w14:textId="77777777" w:rsidTr="003C781F">
        <w:tc>
          <w:tcPr>
            <w:tcW w:w="562" w:type="dxa"/>
          </w:tcPr>
          <w:p w14:paraId="3339FBA2" w14:textId="405418FF" w:rsidR="00D65561" w:rsidRPr="00666A2A" w:rsidRDefault="00D65561"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527745F3" w14:textId="3848E04B" w:rsidR="00D65561" w:rsidRPr="00666A2A" w:rsidRDefault="00D65561" w:rsidP="00580B7B">
            <w:pPr>
              <w:spacing w:after="120"/>
              <w:rPr>
                <w:rFonts w:ascii="Arial" w:hAnsi="Arial" w:cs="Arial"/>
                <w:sz w:val="23"/>
                <w:szCs w:val="23"/>
                <w:lang w:val="en-GB"/>
              </w:rPr>
            </w:pPr>
            <w:r w:rsidRPr="00666A2A">
              <w:rPr>
                <w:rFonts w:ascii="Arial" w:hAnsi="Arial" w:cs="Arial"/>
                <w:sz w:val="23"/>
                <w:szCs w:val="23"/>
              </w:rPr>
              <w:t>SBG</w:t>
            </w:r>
          </w:p>
        </w:tc>
        <w:tc>
          <w:tcPr>
            <w:tcW w:w="1418" w:type="dxa"/>
          </w:tcPr>
          <w:p w14:paraId="44C35BC9" w14:textId="51D62D7D" w:rsidR="00D65561" w:rsidRPr="00666A2A" w:rsidRDefault="004757D3" w:rsidP="00580B7B">
            <w:pPr>
              <w:spacing w:after="120"/>
              <w:rPr>
                <w:rFonts w:ascii="Arial" w:hAnsi="Arial" w:cs="Arial"/>
                <w:sz w:val="23"/>
                <w:szCs w:val="23"/>
                <w:lang w:val="en-GB"/>
              </w:rPr>
            </w:pPr>
            <w:r w:rsidRPr="00666A2A">
              <w:rPr>
                <w:rFonts w:ascii="Arial" w:hAnsi="Arial" w:cs="Arial"/>
                <w:sz w:val="23"/>
                <w:szCs w:val="23"/>
                <w:lang w:val="en-GB"/>
              </w:rPr>
              <w:t>9.</w:t>
            </w:r>
          </w:p>
        </w:tc>
        <w:tc>
          <w:tcPr>
            <w:tcW w:w="9639" w:type="dxa"/>
          </w:tcPr>
          <w:p w14:paraId="15A50610" w14:textId="7175953A" w:rsidR="00D65561" w:rsidRPr="00666A2A" w:rsidRDefault="004757D3" w:rsidP="00580B7B">
            <w:pPr>
              <w:spacing w:after="120"/>
              <w:rPr>
                <w:rFonts w:ascii="Arial" w:eastAsia="Times New Roman" w:hAnsi="Arial" w:cs="Arial"/>
                <w:sz w:val="23"/>
                <w:szCs w:val="23"/>
                <w:lang w:val="en-GB"/>
              </w:rPr>
            </w:pPr>
            <w:r w:rsidRPr="00666A2A">
              <w:rPr>
                <w:rFonts w:ascii="Arial" w:eastAsia="Times New Roman" w:hAnsi="Arial" w:cs="Arial"/>
                <w:sz w:val="23"/>
                <w:szCs w:val="23"/>
                <w:lang w:val="en-GB"/>
              </w:rPr>
              <w:t>No comment.</w:t>
            </w:r>
          </w:p>
        </w:tc>
        <w:tc>
          <w:tcPr>
            <w:tcW w:w="7229" w:type="dxa"/>
          </w:tcPr>
          <w:p w14:paraId="76E657B2" w14:textId="17EC4705" w:rsidR="00D65561"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B3FD7" w:rsidRPr="00666A2A" w14:paraId="4E364B20" w14:textId="35B9384C" w:rsidTr="00437B4A">
        <w:tc>
          <w:tcPr>
            <w:tcW w:w="20691" w:type="dxa"/>
            <w:gridSpan w:val="5"/>
            <w:shd w:val="clear" w:color="auto" w:fill="auto"/>
          </w:tcPr>
          <w:p w14:paraId="1DB19A8C" w14:textId="7510AE53" w:rsidR="007B3FD7" w:rsidRPr="00666A2A" w:rsidRDefault="007B3FD7" w:rsidP="00A1617C">
            <w:pPr>
              <w:tabs>
                <w:tab w:val="left" w:pos="172"/>
              </w:tabs>
              <w:spacing w:before="120" w:after="120"/>
              <w:jc w:val="center"/>
              <w:rPr>
                <w:rFonts w:ascii="Arial" w:hAnsi="Arial" w:cs="Arial"/>
                <w:b/>
                <w:sz w:val="23"/>
                <w:szCs w:val="23"/>
                <w:lang w:val="en-GB"/>
              </w:rPr>
            </w:pPr>
            <w:r w:rsidRPr="00666A2A">
              <w:rPr>
                <w:rFonts w:ascii="Arial" w:hAnsi="Arial" w:cs="Arial"/>
                <w:b/>
                <w:sz w:val="23"/>
                <w:szCs w:val="23"/>
                <w:lang w:val="en-GB"/>
              </w:rPr>
              <w:t>Reporting requirements</w:t>
            </w:r>
          </w:p>
        </w:tc>
      </w:tr>
      <w:tr w:rsidR="004757D3" w:rsidRPr="00666A2A" w14:paraId="41434771" w14:textId="77777777" w:rsidTr="003C781F">
        <w:tc>
          <w:tcPr>
            <w:tcW w:w="562" w:type="dxa"/>
          </w:tcPr>
          <w:p w14:paraId="2ACA5393" w14:textId="70828DF9" w:rsidR="004757D3" w:rsidRPr="00666A2A" w:rsidRDefault="004757D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2EF4FF67" w14:textId="44C3C9BE" w:rsidR="004757D3" w:rsidRPr="00666A2A" w:rsidRDefault="004757D3" w:rsidP="00580B7B">
            <w:pPr>
              <w:spacing w:after="120"/>
              <w:rPr>
                <w:rFonts w:ascii="Arial" w:hAnsi="Arial" w:cs="Arial"/>
                <w:sz w:val="23"/>
                <w:szCs w:val="23"/>
                <w:lang w:val="en-GB"/>
              </w:rPr>
            </w:pPr>
            <w:r w:rsidRPr="00666A2A">
              <w:rPr>
                <w:rFonts w:ascii="Arial" w:hAnsi="Arial" w:cs="Arial"/>
                <w:sz w:val="23"/>
                <w:szCs w:val="23"/>
              </w:rPr>
              <w:t>BASA</w:t>
            </w:r>
          </w:p>
        </w:tc>
        <w:tc>
          <w:tcPr>
            <w:tcW w:w="1418" w:type="dxa"/>
          </w:tcPr>
          <w:p w14:paraId="07F6D376" w14:textId="41BA2384" w:rsidR="004757D3" w:rsidRPr="00666A2A" w:rsidRDefault="004757D3" w:rsidP="00580B7B">
            <w:pPr>
              <w:spacing w:after="120"/>
              <w:rPr>
                <w:rFonts w:ascii="Arial" w:hAnsi="Arial" w:cs="Arial"/>
                <w:sz w:val="23"/>
                <w:szCs w:val="23"/>
              </w:rPr>
            </w:pPr>
            <w:r w:rsidRPr="00666A2A">
              <w:rPr>
                <w:rFonts w:ascii="Arial" w:hAnsi="Arial" w:cs="Arial"/>
                <w:sz w:val="23"/>
                <w:szCs w:val="23"/>
              </w:rPr>
              <w:t>10.1.</w:t>
            </w:r>
          </w:p>
        </w:tc>
        <w:tc>
          <w:tcPr>
            <w:tcW w:w="9639" w:type="dxa"/>
          </w:tcPr>
          <w:p w14:paraId="5D53DCE2" w14:textId="1FD50B0B" w:rsidR="004757D3" w:rsidRPr="00666A2A" w:rsidRDefault="004757D3" w:rsidP="00A1617C">
            <w:pPr>
              <w:spacing w:after="120"/>
              <w:jc w:val="both"/>
              <w:rPr>
                <w:rFonts w:ascii="Arial" w:hAnsi="Arial" w:cs="Arial"/>
                <w:sz w:val="23"/>
                <w:szCs w:val="23"/>
              </w:rPr>
            </w:pPr>
            <w:r w:rsidRPr="00666A2A">
              <w:rPr>
                <w:rFonts w:ascii="Arial" w:hAnsi="Arial" w:cs="Arial"/>
                <w:sz w:val="23"/>
                <w:szCs w:val="23"/>
              </w:rPr>
              <w:t>Section 10.1 requires that a designated institution “must” report whereas section 10.2 states that a designated institution must “on request by the Prudential Authority” report.</w:t>
            </w:r>
          </w:p>
        </w:tc>
        <w:tc>
          <w:tcPr>
            <w:tcW w:w="7229" w:type="dxa"/>
          </w:tcPr>
          <w:p w14:paraId="754DB5C5" w14:textId="1C6F06A3" w:rsidR="004757D3" w:rsidRPr="00666A2A" w:rsidRDefault="0038034E"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The </w:t>
            </w:r>
            <w:r w:rsidR="001C5327"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has been amended to address the unintended confusion.</w:t>
            </w:r>
          </w:p>
        </w:tc>
      </w:tr>
      <w:tr w:rsidR="004757D3" w:rsidRPr="00666A2A" w14:paraId="28C7EB1F" w14:textId="77777777" w:rsidTr="003C781F">
        <w:tc>
          <w:tcPr>
            <w:tcW w:w="562" w:type="dxa"/>
          </w:tcPr>
          <w:p w14:paraId="7C2FCBAD" w14:textId="77777777" w:rsidR="004757D3" w:rsidRPr="00666A2A" w:rsidRDefault="004757D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50A5A142" w14:textId="78EDB069" w:rsidR="004757D3" w:rsidRPr="00666A2A" w:rsidRDefault="004757D3" w:rsidP="00580B7B">
            <w:pPr>
              <w:spacing w:after="120"/>
              <w:rPr>
                <w:rFonts w:ascii="Arial" w:hAnsi="Arial" w:cs="Arial"/>
                <w:sz w:val="23"/>
                <w:szCs w:val="23"/>
              </w:rPr>
            </w:pPr>
            <w:r w:rsidRPr="00666A2A">
              <w:rPr>
                <w:rFonts w:ascii="Arial" w:hAnsi="Arial" w:cs="Arial"/>
                <w:sz w:val="23"/>
                <w:szCs w:val="23"/>
              </w:rPr>
              <w:t>BASA</w:t>
            </w:r>
          </w:p>
        </w:tc>
        <w:tc>
          <w:tcPr>
            <w:tcW w:w="1418" w:type="dxa"/>
          </w:tcPr>
          <w:p w14:paraId="7D285317" w14:textId="08487091" w:rsidR="004757D3" w:rsidRPr="00666A2A" w:rsidRDefault="004757D3" w:rsidP="00580B7B">
            <w:pPr>
              <w:spacing w:after="120"/>
              <w:rPr>
                <w:rFonts w:ascii="Arial" w:hAnsi="Arial" w:cs="Arial"/>
                <w:sz w:val="23"/>
                <w:szCs w:val="23"/>
              </w:rPr>
            </w:pPr>
            <w:r w:rsidRPr="00666A2A">
              <w:rPr>
                <w:rFonts w:ascii="Arial" w:hAnsi="Arial" w:cs="Arial"/>
                <w:sz w:val="23"/>
                <w:szCs w:val="23"/>
              </w:rPr>
              <w:t>10.3.</w:t>
            </w:r>
          </w:p>
        </w:tc>
        <w:tc>
          <w:tcPr>
            <w:tcW w:w="9639" w:type="dxa"/>
          </w:tcPr>
          <w:p w14:paraId="0F088BB3" w14:textId="3DC987FF" w:rsidR="004757D3" w:rsidRPr="00666A2A" w:rsidRDefault="004757D3" w:rsidP="00A1617C">
            <w:pPr>
              <w:spacing w:after="120"/>
              <w:jc w:val="both"/>
              <w:rPr>
                <w:rFonts w:ascii="Arial" w:hAnsi="Arial" w:cs="Arial"/>
                <w:sz w:val="23"/>
                <w:szCs w:val="23"/>
              </w:rPr>
            </w:pPr>
            <w:r w:rsidRPr="00666A2A">
              <w:rPr>
                <w:rFonts w:ascii="Arial" w:hAnsi="Arial" w:cs="Arial"/>
                <w:sz w:val="23"/>
                <w:szCs w:val="23"/>
              </w:rPr>
              <w:t>Section 10.3 is vague and refers to compliant covered contracts, non-compliant covered contracts, and pre-existing covered contracts. It is not clear why there is a need to separately refer to pre-existing covered contracts unless the intention is that the Standard does not apply to pre-existing covered contracts.</w:t>
            </w:r>
          </w:p>
        </w:tc>
        <w:tc>
          <w:tcPr>
            <w:tcW w:w="7229" w:type="dxa"/>
          </w:tcPr>
          <w:p w14:paraId="55E40CB2" w14:textId="4BC03643" w:rsidR="004757D3" w:rsidRPr="00666A2A" w:rsidRDefault="0038034E"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References to </w:t>
            </w:r>
            <w:r w:rsidR="001C5327" w:rsidRPr="00666A2A">
              <w:rPr>
                <w:rFonts w:ascii="Arial" w:eastAsia="Times New Roman" w:hAnsi="Arial" w:cs="Arial"/>
                <w:sz w:val="23"/>
                <w:szCs w:val="23"/>
                <w:lang w:val="en-GB"/>
              </w:rPr>
              <w:t>“</w:t>
            </w:r>
            <w:r w:rsidRPr="00666A2A">
              <w:rPr>
                <w:rFonts w:ascii="Arial" w:eastAsia="Times New Roman" w:hAnsi="Arial" w:cs="Arial"/>
                <w:sz w:val="23"/>
                <w:szCs w:val="23"/>
                <w:lang w:val="en-GB"/>
              </w:rPr>
              <w:t>pre-existing</w:t>
            </w:r>
            <w:r w:rsidR="001C5327" w:rsidRPr="00666A2A">
              <w:rPr>
                <w:rFonts w:ascii="Arial" w:eastAsia="Times New Roman" w:hAnsi="Arial" w:cs="Arial"/>
                <w:sz w:val="23"/>
                <w:szCs w:val="23"/>
                <w:lang w:val="en-GB"/>
              </w:rPr>
              <w:t>”</w:t>
            </w:r>
            <w:r w:rsidRPr="00666A2A">
              <w:rPr>
                <w:rFonts w:ascii="Arial" w:eastAsia="Times New Roman" w:hAnsi="Arial" w:cs="Arial"/>
                <w:sz w:val="23"/>
                <w:szCs w:val="23"/>
                <w:lang w:val="en-GB"/>
              </w:rPr>
              <w:t xml:space="preserve"> contracts have been deleted from the </w:t>
            </w:r>
            <w:r w:rsidR="001C5327"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w:t>
            </w:r>
          </w:p>
        </w:tc>
      </w:tr>
      <w:tr w:rsidR="004757D3" w:rsidRPr="00666A2A" w14:paraId="48F8C2E0" w14:textId="77777777" w:rsidTr="003C781F">
        <w:tc>
          <w:tcPr>
            <w:tcW w:w="562" w:type="dxa"/>
          </w:tcPr>
          <w:p w14:paraId="4D18A413" w14:textId="69748E37" w:rsidR="004757D3" w:rsidRPr="00666A2A" w:rsidRDefault="004757D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455B4791" w14:textId="261F517F" w:rsidR="004757D3" w:rsidRPr="00666A2A" w:rsidRDefault="004757D3" w:rsidP="00580B7B">
            <w:pPr>
              <w:spacing w:after="120"/>
              <w:rPr>
                <w:rFonts w:ascii="Arial" w:hAnsi="Arial" w:cs="Arial"/>
                <w:sz w:val="23"/>
                <w:szCs w:val="23"/>
                <w:lang w:val="en-GB"/>
              </w:rPr>
            </w:pPr>
            <w:r w:rsidRPr="00666A2A">
              <w:rPr>
                <w:rFonts w:ascii="Arial" w:hAnsi="Arial" w:cs="Arial"/>
                <w:sz w:val="23"/>
                <w:szCs w:val="23"/>
              </w:rPr>
              <w:t>BOCA</w:t>
            </w:r>
          </w:p>
        </w:tc>
        <w:tc>
          <w:tcPr>
            <w:tcW w:w="1418" w:type="dxa"/>
          </w:tcPr>
          <w:p w14:paraId="59D55745" w14:textId="4DB4F822" w:rsidR="004757D3" w:rsidRPr="00666A2A" w:rsidRDefault="004757D3" w:rsidP="00580B7B">
            <w:pPr>
              <w:spacing w:after="120"/>
              <w:rPr>
                <w:rFonts w:ascii="Arial" w:hAnsi="Arial" w:cs="Arial"/>
                <w:sz w:val="23"/>
                <w:szCs w:val="23"/>
              </w:rPr>
            </w:pPr>
            <w:r w:rsidRPr="00666A2A">
              <w:rPr>
                <w:rFonts w:ascii="Arial" w:hAnsi="Arial" w:cs="Arial"/>
                <w:sz w:val="23"/>
                <w:szCs w:val="23"/>
              </w:rPr>
              <w:t>10.</w:t>
            </w:r>
          </w:p>
        </w:tc>
        <w:tc>
          <w:tcPr>
            <w:tcW w:w="9639" w:type="dxa"/>
          </w:tcPr>
          <w:p w14:paraId="6881EAD9" w14:textId="6EB50A7E" w:rsidR="004757D3" w:rsidRPr="00666A2A" w:rsidRDefault="004757D3"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5B1B7F8A" w14:textId="797A4A11" w:rsidR="004757D3"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Noted. </w:t>
            </w:r>
          </w:p>
        </w:tc>
      </w:tr>
      <w:tr w:rsidR="004757D3" w:rsidRPr="00666A2A" w14:paraId="760409C5" w14:textId="77777777" w:rsidTr="003C781F">
        <w:tc>
          <w:tcPr>
            <w:tcW w:w="562" w:type="dxa"/>
          </w:tcPr>
          <w:p w14:paraId="2940CF8C" w14:textId="6E03DF80" w:rsidR="004757D3" w:rsidRPr="00666A2A" w:rsidRDefault="004757D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3666F8DD" w14:textId="1A8635F4" w:rsidR="004757D3" w:rsidRPr="00666A2A" w:rsidRDefault="004757D3" w:rsidP="00580B7B">
            <w:pPr>
              <w:spacing w:after="120"/>
              <w:rPr>
                <w:rFonts w:ascii="Arial" w:hAnsi="Arial" w:cs="Arial"/>
                <w:sz w:val="23"/>
                <w:szCs w:val="23"/>
                <w:lang w:val="en-GB"/>
              </w:rPr>
            </w:pPr>
            <w:r w:rsidRPr="00666A2A">
              <w:rPr>
                <w:rFonts w:ascii="Arial" w:hAnsi="Arial" w:cs="Arial"/>
                <w:sz w:val="23"/>
                <w:szCs w:val="23"/>
              </w:rPr>
              <w:t>FSCA</w:t>
            </w:r>
          </w:p>
        </w:tc>
        <w:tc>
          <w:tcPr>
            <w:tcW w:w="1418" w:type="dxa"/>
          </w:tcPr>
          <w:p w14:paraId="2766094F" w14:textId="54075608" w:rsidR="004757D3" w:rsidRPr="00666A2A" w:rsidRDefault="004757D3" w:rsidP="00580B7B">
            <w:pPr>
              <w:spacing w:after="120"/>
              <w:rPr>
                <w:rFonts w:ascii="Arial" w:hAnsi="Arial" w:cs="Arial"/>
                <w:sz w:val="23"/>
                <w:szCs w:val="23"/>
              </w:rPr>
            </w:pPr>
            <w:r w:rsidRPr="00666A2A">
              <w:rPr>
                <w:rFonts w:ascii="Arial" w:hAnsi="Arial" w:cs="Arial"/>
                <w:sz w:val="23"/>
                <w:szCs w:val="23"/>
              </w:rPr>
              <w:t>10.2.</w:t>
            </w:r>
          </w:p>
        </w:tc>
        <w:tc>
          <w:tcPr>
            <w:tcW w:w="9639" w:type="dxa"/>
          </w:tcPr>
          <w:p w14:paraId="107FD912" w14:textId="5A09C30F" w:rsidR="004757D3" w:rsidRPr="00666A2A" w:rsidRDefault="004757D3" w:rsidP="00A1617C">
            <w:pPr>
              <w:spacing w:after="120"/>
              <w:jc w:val="both"/>
              <w:rPr>
                <w:rFonts w:ascii="Arial" w:hAnsi="Arial" w:cs="Arial"/>
                <w:sz w:val="23"/>
                <w:szCs w:val="23"/>
              </w:rPr>
            </w:pPr>
            <w:r w:rsidRPr="00666A2A">
              <w:rPr>
                <w:rFonts w:ascii="Arial" w:hAnsi="Arial" w:cs="Arial"/>
                <w:sz w:val="23"/>
                <w:szCs w:val="23"/>
              </w:rPr>
              <w:t>Is the reporting contemplated in 10.2 not already covered by the reporting requirements in 10.1?</w:t>
            </w:r>
          </w:p>
        </w:tc>
        <w:tc>
          <w:tcPr>
            <w:tcW w:w="7229" w:type="dxa"/>
          </w:tcPr>
          <w:p w14:paraId="13B731F4" w14:textId="1A14F1FB" w:rsidR="004757D3" w:rsidRPr="00666A2A" w:rsidRDefault="0038034E"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The </w:t>
            </w:r>
            <w:r w:rsidR="001C5327"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has been amended to address the unintended confusion.</w:t>
            </w:r>
          </w:p>
        </w:tc>
      </w:tr>
      <w:tr w:rsidR="004757D3" w:rsidRPr="00666A2A" w14:paraId="29102421" w14:textId="77777777" w:rsidTr="003C781F">
        <w:tc>
          <w:tcPr>
            <w:tcW w:w="562" w:type="dxa"/>
          </w:tcPr>
          <w:p w14:paraId="120DEE55" w14:textId="77777777" w:rsidR="004757D3" w:rsidRPr="00666A2A" w:rsidRDefault="004757D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3B7CDCD7" w14:textId="146D87DF" w:rsidR="004757D3" w:rsidRPr="00666A2A" w:rsidRDefault="004757D3" w:rsidP="00580B7B">
            <w:pPr>
              <w:spacing w:after="120"/>
              <w:rPr>
                <w:rFonts w:ascii="Arial" w:hAnsi="Arial" w:cs="Arial"/>
                <w:sz w:val="23"/>
                <w:szCs w:val="23"/>
              </w:rPr>
            </w:pPr>
            <w:r w:rsidRPr="00666A2A">
              <w:rPr>
                <w:rFonts w:ascii="Arial" w:hAnsi="Arial" w:cs="Arial"/>
                <w:sz w:val="23"/>
                <w:szCs w:val="23"/>
              </w:rPr>
              <w:t>FSCA</w:t>
            </w:r>
          </w:p>
        </w:tc>
        <w:tc>
          <w:tcPr>
            <w:tcW w:w="1418" w:type="dxa"/>
          </w:tcPr>
          <w:p w14:paraId="4030F328" w14:textId="2445CDE6" w:rsidR="004757D3" w:rsidRPr="00666A2A" w:rsidRDefault="004757D3" w:rsidP="00580B7B">
            <w:pPr>
              <w:spacing w:after="120"/>
              <w:rPr>
                <w:rFonts w:ascii="Arial" w:hAnsi="Arial" w:cs="Arial"/>
                <w:sz w:val="23"/>
                <w:szCs w:val="23"/>
              </w:rPr>
            </w:pPr>
            <w:r w:rsidRPr="00666A2A">
              <w:rPr>
                <w:rFonts w:ascii="Arial" w:hAnsi="Arial" w:cs="Arial"/>
                <w:sz w:val="23"/>
                <w:szCs w:val="23"/>
              </w:rPr>
              <w:t>10.3.</w:t>
            </w:r>
          </w:p>
        </w:tc>
        <w:tc>
          <w:tcPr>
            <w:tcW w:w="9639" w:type="dxa"/>
          </w:tcPr>
          <w:p w14:paraId="30ED1136" w14:textId="182B2385" w:rsidR="004757D3" w:rsidRPr="00666A2A" w:rsidRDefault="004757D3" w:rsidP="00A1617C">
            <w:pPr>
              <w:spacing w:after="120"/>
              <w:jc w:val="both"/>
              <w:rPr>
                <w:rFonts w:ascii="Arial" w:hAnsi="Arial" w:cs="Arial"/>
                <w:sz w:val="23"/>
                <w:szCs w:val="23"/>
              </w:rPr>
            </w:pPr>
            <w:r w:rsidRPr="00666A2A">
              <w:rPr>
                <w:rFonts w:ascii="Arial" w:hAnsi="Arial" w:cs="Arial"/>
                <w:bCs/>
                <w:sz w:val="23"/>
                <w:szCs w:val="23"/>
              </w:rPr>
              <w:t xml:space="preserve">Should this be limited to the </w:t>
            </w:r>
            <w:r w:rsidRPr="00666A2A">
              <w:rPr>
                <w:rFonts w:ascii="Arial" w:hAnsi="Arial" w:cs="Arial"/>
                <w:sz w:val="23"/>
                <w:szCs w:val="23"/>
              </w:rPr>
              <w:t xml:space="preserve">bilateral resolution planning work programme (and should the latter be defined/explained)? It might be more practical to merely phrase this more general, </w:t>
            </w:r>
            <w:proofErr w:type="gramStart"/>
            <w:r w:rsidRPr="00666A2A">
              <w:rPr>
                <w:rFonts w:ascii="Arial" w:hAnsi="Arial" w:cs="Arial"/>
                <w:sz w:val="23"/>
                <w:szCs w:val="23"/>
              </w:rPr>
              <w:t>e.g.</w:t>
            </w:r>
            <w:proofErr w:type="gramEnd"/>
            <w:r w:rsidRPr="00666A2A">
              <w:rPr>
                <w:rFonts w:ascii="Arial" w:hAnsi="Arial" w:cs="Arial"/>
                <w:sz w:val="23"/>
                <w:szCs w:val="23"/>
              </w:rPr>
              <w:t xml:space="preserve"> requesting further details as and when the SARB so requires (as opposed to limiting it to the work programme).</w:t>
            </w:r>
          </w:p>
        </w:tc>
        <w:tc>
          <w:tcPr>
            <w:tcW w:w="7229" w:type="dxa"/>
          </w:tcPr>
          <w:p w14:paraId="11BA09A1" w14:textId="12E026B8" w:rsidR="004757D3" w:rsidRPr="00666A2A" w:rsidRDefault="0038034E"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The </w:t>
            </w:r>
            <w:r w:rsidR="001C5327"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has been amended in line with the comment.</w:t>
            </w:r>
          </w:p>
        </w:tc>
      </w:tr>
      <w:tr w:rsidR="004757D3" w:rsidRPr="00666A2A" w14:paraId="7921854C" w14:textId="77777777" w:rsidTr="003C781F">
        <w:tc>
          <w:tcPr>
            <w:tcW w:w="562" w:type="dxa"/>
          </w:tcPr>
          <w:p w14:paraId="0A58DAE1" w14:textId="00DB1053" w:rsidR="004757D3" w:rsidRPr="00666A2A" w:rsidRDefault="004757D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0DD19281" w14:textId="0A3C92DE" w:rsidR="004757D3" w:rsidRPr="00666A2A" w:rsidRDefault="004757D3" w:rsidP="00580B7B">
            <w:pPr>
              <w:spacing w:after="120"/>
              <w:rPr>
                <w:rFonts w:ascii="Arial" w:hAnsi="Arial" w:cs="Arial"/>
                <w:sz w:val="23"/>
                <w:szCs w:val="23"/>
                <w:lang w:val="en-GB"/>
              </w:rPr>
            </w:pPr>
            <w:r w:rsidRPr="00666A2A">
              <w:rPr>
                <w:rFonts w:ascii="Arial" w:hAnsi="Arial" w:cs="Arial"/>
                <w:sz w:val="23"/>
                <w:szCs w:val="23"/>
              </w:rPr>
              <w:t>ICMA</w:t>
            </w:r>
            <w:r w:rsidR="007A1DD4" w:rsidRPr="00666A2A">
              <w:rPr>
                <w:rFonts w:ascii="Arial" w:hAnsi="Arial" w:cs="Arial"/>
                <w:sz w:val="23"/>
                <w:szCs w:val="23"/>
              </w:rPr>
              <w:t xml:space="preserve"> and ISLA</w:t>
            </w:r>
          </w:p>
        </w:tc>
        <w:tc>
          <w:tcPr>
            <w:tcW w:w="1418" w:type="dxa"/>
          </w:tcPr>
          <w:p w14:paraId="362E71B2" w14:textId="210665B7" w:rsidR="004757D3" w:rsidRPr="00666A2A" w:rsidRDefault="00F742B1" w:rsidP="00580B7B">
            <w:pPr>
              <w:spacing w:after="120"/>
              <w:rPr>
                <w:rFonts w:ascii="Arial" w:hAnsi="Arial" w:cs="Arial"/>
                <w:sz w:val="23"/>
                <w:szCs w:val="23"/>
              </w:rPr>
            </w:pPr>
            <w:r w:rsidRPr="00666A2A">
              <w:rPr>
                <w:rFonts w:ascii="Arial" w:hAnsi="Arial" w:cs="Arial"/>
                <w:sz w:val="23"/>
                <w:szCs w:val="23"/>
              </w:rPr>
              <w:t>10.</w:t>
            </w:r>
          </w:p>
        </w:tc>
        <w:tc>
          <w:tcPr>
            <w:tcW w:w="9639" w:type="dxa"/>
          </w:tcPr>
          <w:p w14:paraId="2ECC78AE" w14:textId="205DD24A" w:rsidR="004757D3" w:rsidRPr="00666A2A" w:rsidRDefault="004757D3"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753E7BD5" w14:textId="4E339754" w:rsidR="004757D3"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4757D3" w:rsidRPr="00666A2A" w14:paraId="52DC5F05" w14:textId="77777777" w:rsidTr="003C781F">
        <w:tc>
          <w:tcPr>
            <w:tcW w:w="562" w:type="dxa"/>
          </w:tcPr>
          <w:p w14:paraId="5E33904D" w14:textId="3474F1E2" w:rsidR="004757D3" w:rsidRPr="00666A2A" w:rsidRDefault="004757D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7B33C69E" w14:textId="4AFD72C2" w:rsidR="004757D3" w:rsidRPr="00666A2A" w:rsidRDefault="004757D3" w:rsidP="00580B7B">
            <w:pPr>
              <w:spacing w:after="120"/>
              <w:rPr>
                <w:rFonts w:ascii="Arial" w:hAnsi="Arial" w:cs="Arial"/>
                <w:sz w:val="23"/>
                <w:szCs w:val="23"/>
                <w:lang w:val="en-GB"/>
              </w:rPr>
            </w:pPr>
            <w:r w:rsidRPr="00666A2A">
              <w:rPr>
                <w:rFonts w:ascii="Arial" w:hAnsi="Arial" w:cs="Arial"/>
                <w:sz w:val="23"/>
                <w:szCs w:val="23"/>
              </w:rPr>
              <w:t>ISDA</w:t>
            </w:r>
          </w:p>
        </w:tc>
        <w:tc>
          <w:tcPr>
            <w:tcW w:w="1418" w:type="dxa"/>
          </w:tcPr>
          <w:p w14:paraId="0C5783C7" w14:textId="0FDECB44" w:rsidR="004757D3" w:rsidRPr="00666A2A" w:rsidRDefault="00F742B1" w:rsidP="00580B7B">
            <w:pPr>
              <w:spacing w:after="120"/>
              <w:rPr>
                <w:rFonts w:ascii="Arial" w:hAnsi="Arial" w:cs="Arial"/>
                <w:sz w:val="23"/>
                <w:szCs w:val="23"/>
              </w:rPr>
            </w:pPr>
            <w:r w:rsidRPr="00666A2A">
              <w:rPr>
                <w:rFonts w:ascii="Arial" w:hAnsi="Arial" w:cs="Arial"/>
                <w:sz w:val="23"/>
                <w:szCs w:val="23"/>
              </w:rPr>
              <w:t>10.</w:t>
            </w:r>
          </w:p>
        </w:tc>
        <w:tc>
          <w:tcPr>
            <w:tcW w:w="9639" w:type="dxa"/>
          </w:tcPr>
          <w:p w14:paraId="14671DD2" w14:textId="74CE9425" w:rsidR="004757D3" w:rsidRPr="00666A2A" w:rsidRDefault="00F742B1"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52EFC16D" w14:textId="04D2EE7D" w:rsidR="004757D3"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4757D3" w:rsidRPr="00666A2A" w14:paraId="14228C2D" w14:textId="77777777" w:rsidTr="003C781F">
        <w:tc>
          <w:tcPr>
            <w:tcW w:w="562" w:type="dxa"/>
          </w:tcPr>
          <w:p w14:paraId="52C4994A" w14:textId="174642B7" w:rsidR="004757D3" w:rsidRPr="00666A2A" w:rsidRDefault="004757D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5B3985F2" w14:textId="7828618D" w:rsidR="004757D3" w:rsidRPr="00666A2A" w:rsidRDefault="004757D3" w:rsidP="00580B7B">
            <w:pPr>
              <w:spacing w:after="120"/>
              <w:rPr>
                <w:rFonts w:ascii="Arial" w:hAnsi="Arial" w:cs="Arial"/>
                <w:sz w:val="23"/>
                <w:szCs w:val="23"/>
                <w:lang w:val="en-GB"/>
              </w:rPr>
            </w:pPr>
            <w:r w:rsidRPr="00666A2A">
              <w:rPr>
                <w:rFonts w:ascii="Arial" w:hAnsi="Arial" w:cs="Arial"/>
                <w:sz w:val="23"/>
                <w:szCs w:val="23"/>
              </w:rPr>
              <w:t>Nedbank</w:t>
            </w:r>
          </w:p>
        </w:tc>
        <w:tc>
          <w:tcPr>
            <w:tcW w:w="1418" w:type="dxa"/>
          </w:tcPr>
          <w:p w14:paraId="1A925DCD" w14:textId="1AD268F9" w:rsidR="004757D3" w:rsidRPr="00666A2A" w:rsidRDefault="00F742B1" w:rsidP="00580B7B">
            <w:pPr>
              <w:spacing w:after="120"/>
              <w:rPr>
                <w:rFonts w:ascii="Arial" w:hAnsi="Arial" w:cs="Arial"/>
                <w:sz w:val="23"/>
                <w:szCs w:val="23"/>
              </w:rPr>
            </w:pPr>
            <w:r w:rsidRPr="00666A2A">
              <w:rPr>
                <w:rFonts w:ascii="Arial" w:hAnsi="Arial" w:cs="Arial"/>
                <w:sz w:val="23"/>
                <w:szCs w:val="23"/>
              </w:rPr>
              <w:t>10.</w:t>
            </w:r>
          </w:p>
        </w:tc>
        <w:tc>
          <w:tcPr>
            <w:tcW w:w="9639" w:type="dxa"/>
          </w:tcPr>
          <w:p w14:paraId="51281722" w14:textId="2E352C57" w:rsidR="004757D3" w:rsidRPr="00666A2A" w:rsidRDefault="00F742B1"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0A0C4793" w14:textId="04DA7728" w:rsidR="00F56670"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4757D3" w:rsidRPr="00666A2A" w14:paraId="42BA5567" w14:textId="77777777" w:rsidTr="003C781F">
        <w:tc>
          <w:tcPr>
            <w:tcW w:w="562" w:type="dxa"/>
          </w:tcPr>
          <w:p w14:paraId="0C684F8D" w14:textId="1BF8B6AE" w:rsidR="004757D3" w:rsidRPr="00666A2A" w:rsidRDefault="004757D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18C0865A" w14:textId="40335FB3" w:rsidR="004757D3" w:rsidRPr="00666A2A" w:rsidRDefault="004757D3" w:rsidP="00580B7B">
            <w:pPr>
              <w:spacing w:after="120"/>
              <w:rPr>
                <w:rFonts w:ascii="Arial" w:hAnsi="Arial" w:cs="Arial"/>
                <w:sz w:val="23"/>
                <w:szCs w:val="23"/>
                <w:lang w:val="en-GB"/>
              </w:rPr>
            </w:pPr>
            <w:r w:rsidRPr="00666A2A">
              <w:rPr>
                <w:rFonts w:ascii="Arial" w:hAnsi="Arial" w:cs="Arial"/>
                <w:sz w:val="23"/>
                <w:szCs w:val="23"/>
              </w:rPr>
              <w:t>SASLA</w:t>
            </w:r>
          </w:p>
        </w:tc>
        <w:tc>
          <w:tcPr>
            <w:tcW w:w="1418" w:type="dxa"/>
          </w:tcPr>
          <w:p w14:paraId="2CEEF207" w14:textId="5A9B03C2" w:rsidR="004757D3" w:rsidRPr="00666A2A" w:rsidRDefault="00F742B1" w:rsidP="00580B7B">
            <w:pPr>
              <w:spacing w:after="120"/>
              <w:rPr>
                <w:rFonts w:ascii="Arial" w:hAnsi="Arial" w:cs="Arial"/>
                <w:sz w:val="23"/>
                <w:szCs w:val="23"/>
              </w:rPr>
            </w:pPr>
            <w:r w:rsidRPr="00666A2A">
              <w:rPr>
                <w:rFonts w:ascii="Arial" w:hAnsi="Arial" w:cs="Arial"/>
                <w:sz w:val="23"/>
                <w:szCs w:val="23"/>
              </w:rPr>
              <w:t>10.</w:t>
            </w:r>
          </w:p>
        </w:tc>
        <w:tc>
          <w:tcPr>
            <w:tcW w:w="9639" w:type="dxa"/>
          </w:tcPr>
          <w:p w14:paraId="3D1F1672" w14:textId="52D81407" w:rsidR="004757D3" w:rsidRPr="00666A2A" w:rsidRDefault="00F742B1"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6CACF831" w14:textId="2CE045CC" w:rsidR="004757D3"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4757D3" w:rsidRPr="00666A2A" w14:paraId="18FFCFBB" w14:textId="77777777" w:rsidTr="003C781F">
        <w:tc>
          <w:tcPr>
            <w:tcW w:w="562" w:type="dxa"/>
          </w:tcPr>
          <w:p w14:paraId="016B35F3" w14:textId="0F8D68B3" w:rsidR="004757D3" w:rsidRPr="00666A2A" w:rsidRDefault="004757D3"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0901637A" w14:textId="0DEB2B13" w:rsidR="004757D3" w:rsidRPr="00666A2A" w:rsidRDefault="004757D3" w:rsidP="00580B7B">
            <w:pPr>
              <w:spacing w:after="120"/>
              <w:rPr>
                <w:rFonts w:ascii="Arial" w:hAnsi="Arial" w:cs="Arial"/>
                <w:sz w:val="23"/>
                <w:szCs w:val="23"/>
                <w:lang w:val="en-GB"/>
              </w:rPr>
            </w:pPr>
            <w:r w:rsidRPr="00666A2A">
              <w:rPr>
                <w:rFonts w:ascii="Arial" w:hAnsi="Arial" w:cs="Arial"/>
                <w:sz w:val="23"/>
                <w:szCs w:val="23"/>
              </w:rPr>
              <w:t>SBG</w:t>
            </w:r>
          </w:p>
        </w:tc>
        <w:tc>
          <w:tcPr>
            <w:tcW w:w="1418" w:type="dxa"/>
          </w:tcPr>
          <w:p w14:paraId="1551FBA4" w14:textId="36D7199D" w:rsidR="004757D3" w:rsidRPr="00666A2A" w:rsidRDefault="00F742B1" w:rsidP="00580B7B">
            <w:pPr>
              <w:spacing w:after="120"/>
              <w:rPr>
                <w:rFonts w:ascii="Arial" w:hAnsi="Arial" w:cs="Arial"/>
                <w:sz w:val="23"/>
                <w:szCs w:val="23"/>
              </w:rPr>
            </w:pPr>
            <w:r w:rsidRPr="00666A2A">
              <w:rPr>
                <w:rFonts w:ascii="Arial" w:hAnsi="Arial" w:cs="Arial"/>
                <w:sz w:val="23"/>
                <w:szCs w:val="23"/>
              </w:rPr>
              <w:t>10.</w:t>
            </w:r>
          </w:p>
        </w:tc>
        <w:tc>
          <w:tcPr>
            <w:tcW w:w="9639" w:type="dxa"/>
          </w:tcPr>
          <w:p w14:paraId="052F8A07" w14:textId="74FE63AA" w:rsidR="004757D3" w:rsidRPr="00666A2A" w:rsidRDefault="00F742B1" w:rsidP="00A1617C">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0BCED64C" w14:textId="0DAEF24C" w:rsidR="004757D3" w:rsidRPr="00666A2A" w:rsidRDefault="00F56670"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Noted. </w:t>
            </w:r>
          </w:p>
        </w:tc>
      </w:tr>
      <w:tr w:rsidR="00124FA3" w:rsidRPr="00666A2A" w14:paraId="47295043" w14:textId="77777777" w:rsidTr="00437B4A">
        <w:tc>
          <w:tcPr>
            <w:tcW w:w="20691" w:type="dxa"/>
            <w:gridSpan w:val="5"/>
            <w:shd w:val="clear" w:color="auto" w:fill="F2F2F2" w:themeFill="background1" w:themeFillShade="F2"/>
          </w:tcPr>
          <w:p w14:paraId="33BF2633" w14:textId="68DAAA3E" w:rsidR="00124FA3" w:rsidRPr="00666A2A" w:rsidRDefault="002F4B9B" w:rsidP="00A1617C">
            <w:pPr>
              <w:spacing w:before="120" w:after="120"/>
              <w:jc w:val="center"/>
              <w:rPr>
                <w:rFonts w:ascii="Arial" w:eastAsia="Times New Roman" w:hAnsi="Arial" w:cs="Arial"/>
                <w:b/>
                <w:bCs/>
                <w:sz w:val="23"/>
                <w:szCs w:val="23"/>
                <w:lang w:val="en-GB"/>
              </w:rPr>
            </w:pPr>
            <w:r w:rsidRPr="00666A2A">
              <w:rPr>
                <w:rFonts w:ascii="Arial" w:hAnsi="Arial" w:cs="Arial"/>
                <w:b/>
                <w:bCs/>
                <w:sz w:val="23"/>
                <w:szCs w:val="23"/>
              </w:rPr>
              <w:t>GENERAL COMMENTS</w:t>
            </w:r>
          </w:p>
        </w:tc>
      </w:tr>
      <w:tr w:rsidR="00770FAC" w:rsidRPr="00666A2A" w14:paraId="41F4FC76" w14:textId="77777777" w:rsidTr="003C781F">
        <w:tc>
          <w:tcPr>
            <w:tcW w:w="562" w:type="dxa"/>
          </w:tcPr>
          <w:p w14:paraId="16F8FD19" w14:textId="77777777" w:rsidR="00770FAC" w:rsidRPr="00666A2A" w:rsidRDefault="00770FAC"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9126AFE" w14:textId="7E474E2A" w:rsidR="00770FAC" w:rsidRPr="00666A2A" w:rsidRDefault="00770FAC" w:rsidP="00580B7B">
            <w:pPr>
              <w:spacing w:after="120"/>
              <w:rPr>
                <w:rFonts w:ascii="Arial" w:hAnsi="Arial" w:cs="Arial"/>
                <w:sz w:val="23"/>
                <w:szCs w:val="23"/>
              </w:rPr>
            </w:pPr>
            <w:r w:rsidRPr="00666A2A">
              <w:rPr>
                <w:rFonts w:ascii="Arial" w:hAnsi="Arial" w:cs="Arial"/>
                <w:sz w:val="23"/>
                <w:szCs w:val="23"/>
              </w:rPr>
              <w:t>BASA</w:t>
            </w:r>
          </w:p>
        </w:tc>
        <w:tc>
          <w:tcPr>
            <w:tcW w:w="1418" w:type="dxa"/>
          </w:tcPr>
          <w:p w14:paraId="029F73FC" w14:textId="759BA8E4" w:rsidR="00770FAC" w:rsidRPr="00666A2A" w:rsidRDefault="00770FAC" w:rsidP="00580B7B">
            <w:pPr>
              <w:spacing w:after="120"/>
              <w:rPr>
                <w:rFonts w:ascii="Arial" w:hAnsi="Arial" w:cs="Arial"/>
                <w:sz w:val="23"/>
                <w:szCs w:val="23"/>
              </w:rPr>
            </w:pPr>
            <w:r w:rsidRPr="00666A2A">
              <w:rPr>
                <w:rFonts w:ascii="Arial" w:hAnsi="Arial" w:cs="Arial"/>
                <w:sz w:val="23"/>
                <w:szCs w:val="23"/>
              </w:rPr>
              <w:t>N/A</w:t>
            </w:r>
          </w:p>
        </w:tc>
        <w:tc>
          <w:tcPr>
            <w:tcW w:w="9639" w:type="dxa"/>
          </w:tcPr>
          <w:p w14:paraId="3A3138A1" w14:textId="2C6638F5" w:rsidR="00770FAC" w:rsidRPr="00666A2A" w:rsidRDefault="00770FAC" w:rsidP="00580B7B">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0D56472B" w14:textId="52815137" w:rsidR="00770FAC" w:rsidRPr="00666A2A" w:rsidRDefault="00770FAC"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70FAC" w:rsidRPr="00666A2A" w14:paraId="23C84494" w14:textId="77777777" w:rsidTr="003C781F">
        <w:tc>
          <w:tcPr>
            <w:tcW w:w="562" w:type="dxa"/>
          </w:tcPr>
          <w:p w14:paraId="6E860B6A" w14:textId="77777777" w:rsidR="00770FAC" w:rsidRPr="00666A2A" w:rsidRDefault="00770FAC"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2770C577" w14:textId="108E9EEA" w:rsidR="00770FAC" w:rsidRPr="00666A2A" w:rsidRDefault="00770FAC" w:rsidP="00580B7B">
            <w:pPr>
              <w:spacing w:after="120"/>
              <w:rPr>
                <w:rFonts w:ascii="Arial" w:hAnsi="Arial" w:cs="Arial"/>
                <w:sz w:val="23"/>
                <w:szCs w:val="23"/>
              </w:rPr>
            </w:pPr>
            <w:r w:rsidRPr="00666A2A">
              <w:rPr>
                <w:rFonts w:ascii="Arial" w:hAnsi="Arial" w:cs="Arial"/>
                <w:sz w:val="23"/>
                <w:szCs w:val="23"/>
              </w:rPr>
              <w:t>BASA</w:t>
            </w:r>
          </w:p>
        </w:tc>
        <w:tc>
          <w:tcPr>
            <w:tcW w:w="1418" w:type="dxa"/>
          </w:tcPr>
          <w:p w14:paraId="2C5425B2" w14:textId="7B2EB7BF" w:rsidR="00770FAC" w:rsidRPr="00666A2A" w:rsidRDefault="00770FAC" w:rsidP="00580B7B">
            <w:pPr>
              <w:spacing w:after="120"/>
              <w:rPr>
                <w:rFonts w:ascii="Arial" w:hAnsi="Arial" w:cs="Arial"/>
                <w:sz w:val="23"/>
                <w:szCs w:val="23"/>
              </w:rPr>
            </w:pPr>
            <w:r w:rsidRPr="00666A2A">
              <w:rPr>
                <w:rFonts w:ascii="Arial" w:hAnsi="Arial" w:cs="Arial"/>
                <w:sz w:val="23"/>
                <w:szCs w:val="23"/>
              </w:rPr>
              <w:t>N/A</w:t>
            </w:r>
          </w:p>
        </w:tc>
        <w:tc>
          <w:tcPr>
            <w:tcW w:w="9639" w:type="dxa"/>
          </w:tcPr>
          <w:p w14:paraId="3336F1BC" w14:textId="045C8C1C" w:rsidR="00770FAC" w:rsidRPr="00666A2A" w:rsidRDefault="00770FAC" w:rsidP="00580B7B">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5DE48B7E" w14:textId="461586EB" w:rsidR="00770FAC" w:rsidRPr="00666A2A" w:rsidRDefault="00770FAC"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70FAC" w:rsidRPr="00666A2A" w14:paraId="5B59261E" w14:textId="77777777" w:rsidTr="003C781F">
        <w:tc>
          <w:tcPr>
            <w:tcW w:w="562" w:type="dxa"/>
          </w:tcPr>
          <w:p w14:paraId="54FBB981" w14:textId="77777777" w:rsidR="00770FAC" w:rsidRPr="00666A2A" w:rsidRDefault="00770FAC"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58087E9A" w14:textId="4A734203" w:rsidR="00770FAC" w:rsidRPr="00666A2A" w:rsidRDefault="00770FAC" w:rsidP="00580B7B">
            <w:pPr>
              <w:spacing w:after="120"/>
              <w:rPr>
                <w:rFonts w:ascii="Arial" w:hAnsi="Arial" w:cs="Arial"/>
                <w:sz w:val="23"/>
                <w:szCs w:val="23"/>
              </w:rPr>
            </w:pPr>
            <w:r w:rsidRPr="00666A2A">
              <w:rPr>
                <w:rFonts w:ascii="Arial" w:hAnsi="Arial" w:cs="Arial"/>
                <w:sz w:val="23"/>
                <w:szCs w:val="23"/>
              </w:rPr>
              <w:t>BOCA</w:t>
            </w:r>
          </w:p>
        </w:tc>
        <w:tc>
          <w:tcPr>
            <w:tcW w:w="1418" w:type="dxa"/>
          </w:tcPr>
          <w:p w14:paraId="58EDB3A2" w14:textId="317D5791" w:rsidR="00770FAC" w:rsidRPr="00666A2A" w:rsidRDefault="00A109C7" w:rsidP="00580B7B">
            <w:pPr>
              <w:spacing w:after="120"/>
              <w:rPr>
                <w:rFonts w:ascii="Arial" w:hAnsi="Arial" w:cs="Arial"/>
                <w:sz w:val="23"/>
                <w:szCs w:val="23"/>
              </w:rPr>
            </w:pPr>
            <w:r w:rsidRPr="00666A2A">
              <w:rPr>
                <w:rFonts w:ascii="Arial" w:hAnsi="Arial" w:cs="Arial"/>
                <w:sz w:val="23"/>
                <w:szCs w:val="23"/>
              </w:rPr>
              <w:t>General</w:t>
            </w:r>
          </w:p>
        </w:tc>
        <w:tc>
          <w:tcPr>
            <w:tcW w:w="9639" w:type="dxa"/>
          </w:tcPr>
          <w:p w14:paraId="321137F4" w14:textId="0C7B9896" w:rsidR="00770FAC" w:rsidRPr="00666A2A" w:rsidRDefault="00770FAC" w:rsidP="00580B7B">
            <w:pPr>
              <w:spacing w:after="120"/>
              <w:jc w:val="both"/>
              <w:rPr>
                <w:rFonts w:ascii="Arial" w:hAnsi="Arial" w:cs="Arial"/>
                <w:sz w:val="23"/>
                <w:szCs w:val="23"/>
              </w:rPr>
            </w:pPr>
            <w:r w:rsidRPr="00666A2A">
              <w:rPr>
                <w:rFonts w:ascii="Arial" w:hAnsi="Arial" w:cs="Arial"/>
                <w:bCs/>
                <w:sz w:val="23"/>
                <w:szCs w:val="23"/>
              </w:rPr>
              <w:t xml:space="preserve">It is suggested that the SARB PA consider a reasonable time for the remediation (if any) of the legacy contracts to bring the latter into compliance with this Standard, possibly a </w:t>
            </w:r>
            <w:r w:rsidR="003F24A1" w:rsidRPr="00666A2A">
              <w:rPr>
                <w:rFonts w:ascii="Arial" w:hAnsi="Arial" w:cs="Arial"/>
                <w:bCs/>
                <w:sz w:val="23"/>
                <w:szCs w:val="23"/>
              </w:rPr>
              <w:t>two-year</w:t>
            </w:r>
            <w:r w:rsidRPr="00666A2A">
              <w:rPr>
                <w:rFonts w:ascii="Arial" w:hAnsi="Arial" w:cs="Arial"/>
                <w:bCs/>
                <w:sz w:val="23"/>
                <w:szCs w:val="23"/>
              </w:rPr>
              <w:t xml:space="preserve"> period.</w:t>
            </w:r>
          </w:p>
        </w:tc>
        <w:tc>
          <w:tcPr>
            <w:tcW w:w="7229" w:type="dxa"/>
          </w:tcPr>
          <w:p w14:paraId="599C46E8" w14:textId="0B949F98" w:rsidR="00770FAC" w:rsidRPr="00666A2A" w:rsidRDefault="00770FAC"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 xml:space="preserve">The comment is noted. A reasonable time for implementation of the </w:t>
            </w:r>
            <w:r w:rsidR="001C5327" w:rsidRPr="00666A2A">
              <w:rPr>
                <w:rFonts w:ascii="Arial" w:eastAsia="Times New Roman" w:hAnsi="Arial" w:cs="Arial"/>
                <w:sz w:val="23"/>
                <w:szCs w:val="23"/>
                <w:lang w:val="en-GB"/>
              </w:rPr>
              <w:t>proposed</w:t>
            </w:r>
            <w:r w:rsidRPr="00666A2A">
              <w:rPr>
                <w:rFonts w:ascii="Arial" w:eastAsia="Times New Roman" w:hAnsi="Arial" w:cs="Arial"/>
                <w:sz w:val="23"/>
                <w:szCs w:val="23"/>
                <w:lang w:val="en-GB"/>
              </w:rPr>
              <w:t xml:space="preserve"> Standard will be considered. </w:t>
            </w:r>
          </w:p>
        </w:tc>
      </w:tr>
      <w:tr w:rsidR="00770FAC" w:rsidRPr="00666A2A" w14:paraId="34E046E9" w14:textId="77777777" w:rsidTr="003C781F">
        <w:tc>
          <w:tcPr>
            <w:tcW w:w="562" w:type="dxa"/>
          </w:tcPr>
          <w:p w14:paraId="06184610" w14:textId="77777777" w:rsidR="00770FAC" w:rsidRPr="00666A2A" w:rsidRDefault="00770FAC"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C447C45" w14:textId="42B8401C" w:rsidR="00770FAC" w:rsidRPr="00666A2A" w:rsidRDefault="00770FAC" w:rsidP="00580B7B">
            <w:pPr>
              <w:spacing w:after="120"/>
              <w:rPr>
                <w:rFonts w:ascii="Arial" w:hAnsi="Arial" w:cs="Arial"/>
                <w:sz w:val="23"/>
                <w:szCs w:val="23"/>
              </w:rPr>
            </w:pPr>
            <w:r w:rsidRPr="00666A2A">
              <w:rPr>
                <w:rFonts w:ascii="Arial" w:hAnsi="Arial" w:cs="Arial"/>
                <w:sz w:val="23"/>
                <w:szCs w:val="23"/>
              </w:rPr>
              <w:t>FSCA</w:t>
            </w:r>
          </w:p>
        </w:tc>
        <w:tc>
          <w:tcPr>
            <w:tcW w:w="1418" w:type="dxa"/>
          </w:tcPr>
          <w:p w14:paraId="1A606691" w14:textId="1B11F0AB" w:rsidR="00770FAC" w:rsidRPr="00666A2A" w:rsidRDefault="00770FAC" w:rsidP="00580B7B">
            <w:pPr>
              <w:spacing w:after="120"/>
              <w:rPr>
                <w:rFonts w:ascii="Arial" w:hAnsi="Arial" w:cs="Arial"/>
                <w:sz w:val="23"/>
                <w:szCs w:val="23"/>
              </w:rPr>
            </w:pPr>
            <w:r w:rsidRPr="00666A2A">
              <w:rPr>
                <w:rFonts w:ascii="Arial" w:hAnsi="Arial" w:cs="Arial"/>
                <w:sz w:val="23"/>
                <w:szCs w:val="23"/>
              </w:rPr>
              <w:t>N/A</w:t>
            </w:r>
          </w:p>
        </w:tc>
        <w:tc>
          <w:tcPr>
            <w:tcW w:w="9639" w:type="dxa"/>
          </w:tcPr>
          <w:p w14:paraId="7F4B9A1F" w14:textId="504DE1C0" w:rsidR="00770FAC" w:rsidRPr="00666A2A" w:rsidRDefault="00770FAC" w:rsidP="00580B7B">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1264821D" w14:textId="19C5B304" w:rsidR="00770FAC" w:rsidRPr="00666A2A" w:rsidRDefault="00770FAC"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70FAC" w:rsidRPr="00666A2A" w14:paraId="17245065" w14:textId="77777777" w:rsidTr="003C781F">
        <w:tc>
          <w:tcPr>
            <w:tcW w:w="562" w:type="dxa"/>
          </w:tcPr>
          <w:p w14:paraId="1B0D3136" w14:textId="77777777" w:rsidR="00770FAC" w:rsidRPr="00666A2A" w:rsidRDefault="00770FAC"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425B2EA" w14:textId="318055E7" w:rsidR="00770FAC" w:rsidRPr="00666A2A" w:rsidRDefault="00770FAC" w:rsidP="00580B7B">
            <w:pPr>
              <w:spacing w:after="120"/>
              <w:rPr>
                <w:rFonts w:ascii="Arial" w:hAnsi="Arial" w:cs="Arial"/>
                <w:sz w:val="23"/>
                <w:szCs w:val="23"/>
              </w:rPr>
            </w:pPr>
            <w:r w:rsidRPr="00666A2A">
              <w:rPr>
                <w:rFonts w:ascii="Arial" w:hAnsi="Arial" w:cs="Arial"/>
                <w:sz w:val="23"/>
                <w:szCs w:val="23"/>
              </w:rPr>
              <w:t>FSCA</w:t>
            </w:r>
          </w:p>
        </w:tc>
        <w:tc>
          <w:tcPr>
            <w:tcW w:w="1418" w:type="dxa"/>
          </w:tcPr>
          <w:p w14:paraId="154DB418" w14:textId="1A4A882C" w:rsidR="00770FAC" w:rsidRPr="00666A2A" w:rsidRDefault="00770FAC" w:rsidP="00580B7B">
            <w:pPr>
              <w:spacing w:after="120"/>
              <w:rPr>
                <w:rFonts w:ascii="Arial" w:hAnsi="Arial" w:cs="Arial"/>
                <w:sz w:val="23"/>
                <w:szCs w:val="23"/>
              </w:rPr>
            </w:pPr>
            <w:r w:rsidRPr="00666A2A">
              <w:rPr>
                <w:rFonts w:ascii="Arial" w:hAnsi="Arial" w:cs="Arial"/>
                <w:sz w:val="23"/>
                <w:szCs w:val="23"/>
              </w:rPr>
              <w:t>N/A</w:t>
            </w:r>
          </w:p>
        </w:tc>
        <w:tc>
          <w:tcPr>
            <w:tcW w:w="9639" w:type="dxa"/>
          </w:tcPr>
          <w:p w14:paraId="6102C493" w14:textId="7DAD0946" w:rsidR="00770FAC" w:rsidRPr="00666A2A" w:rsidRDefault="00770FAC" w:rsidP="00580B7B">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423C1CA9" w14:textId="507153DA" w:rsidR="00770FAC" w:rsidRPr="00666A2A" w:rsidRDefault="00770FAC"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70FAC" w:rsidRPr="00666A2A" w14:paraId="677BECE0" w14:textId="77777777" w:rsidTr="003C781F">
        <w:tc>
          <w:tcPr>
            <w:tcW w:w="562" w:type="dxa"/>
          </w:tcPr>
          <w:p w14:paraId="672CF3BA" w14:textId="77777777" w:rsidR="00770FAC" w:rsidRPr="00666A2A" w:rsidRDefault="00770FAC"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428F19E3" w14:textId="2AA66921" w:rsidR="00770FAC" w:rsidRPr="00666A2A" w:rsidRDefault="00770FAC" w:rsidP="00580B7B">
            <w:pPr>
              <w:spacing w:after="120"/>
              <w:rPr>
                <w:rFonts w:ascii="Arial" w:hAnsi="Arial" w:cs="Arial"/>
                <w:sz w:val="23"/>
                <w:szCs w:val="23"/>
              </w:rPr>
            </w:pPr>
            <w:r w:rsidRPr="00666A2A">
              <w:rPr>
                <w:rFonts w:ascii="Arial" w:hAnsi="Arial" w:cs="Arial"/>
                <w:sz w:val="23"/>
                <w:szCs w:val="23"/>
              </w:rPr>
              <w:t>ICMA and ISLA</w:t>
            </w:r>
          </w:p>
        </w:tc>
        <w:tc>
          <w:tcPr>
            <w:tcW w:w="1418" w:type="dxa"/>
          </w:tcPr>
          <w:p w14:paraId="06E0E1D9" w14:textId="3856AE5E" w:rsidR="00770FAC" w:rsidRPr="00666A2A" w:rsidRDefault="00770FAC" w:rsidP="00580B7B">
            <w:pPr>
              <w:spacing w:after="120"/>
              <w:rPr>
                <w:rFonts w:ascii="Arial" w:hAnsi="Arial" w:cs="Arial"/>
                <w:sz w:val="23"/>
                <w:szCs w:val="23"/>
              </w:rPr>
            </w:pPr>
            <w:r w:rsidRPr="00666A2A">
              <w:rPr>
                <w:rFonts w:ascii="Arial" w:hAnsi="Arial" w:cs="Arial"/>
                <w:sz w:val="23"/>
                <w:szCs w:val="23"/>
              </w:rPr>
              <w:t>N/A</w:t>
            </w:r>
          </w:p>
        </w:tc>
        <w:tc>
          <w:tcPr>
            <w:tcW w:w="9639" w:type="dxa"/>
          </w:tcPr>
          <w:p w14:paraId="7C450723" w14:textId="7249AF86" w:rsidR="00770FAC" w:rsidRPr="00666A2A" w:rsidRDefault="00770FAC" w:rsidP="00580B7B">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7F2FCA97" w14:textId="26AAC344" w:rsidR="00770FAC" w:rsidRPr="00666A2A" w:rsidRDefault="00770FAC"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70FAC" w:rsidRPr="00666A2A" w14:paraId="060D1B5E" w14:textId="77777777" w:rsidTr="003C781F">
        <w:tc>
          <w:tcPr>
            <w:tcW w:w="562" w:type="dxa"/>
          </w:tcPr>
          <w:p w14:paraId="3B82DDB4" w14:textId="77777777" w:rsidR="00770FAC" w:rsidRPr="00666A2A" w:rsidRDefault="00770FAC"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2680115E" w14:textId="06E36A6D" w:rsidR="00770FAC" w:rsidRPr="00666A2A" w:rsidRDefault="00770FAC" w:rsidP="00580B7B">
            <w:pPr>
              <w:spacing w:after="120"/>
              <w:rPr>
                <w:rFonts w:ascii="Arial" w:hAnsi="Arial" w:cs="Arial"/>
                <w:sz w:val="23"/>
                <w:szCs w:val="23"/>
              </w:rPr>
            </w:pPr>
            <w:r w:rsidRPr="00666A2A">
              <w:rPr>
                <w:rFonts w:ascii="Arial" w:hAnsi="Arial" w:cs="Arial"/>
                <w:sz w:val="23"/>
                <w:szCs w:val="23"/>
              </w:rPr>
              <w:t>ISDA</w:t>
            </w:r>
          </w:p>
        </w:tc>
        <w:tc>
          <w:tcPr>
            <w:tcW w:w="1418" w:type="dxa"/>
          </w:tcPr>
          <w:p w14:paraId="1A2707DC" w14:textId="706C1055" w:rsidR="00770FAC" w:rsidRPr="00666A2A" w:rsidRDefault="00770FAC" w:rsidP="00580B7B">
            <w:pPr>
              <w:spacing w:after="120"/>
              <w:rPr>
                <w:rFonts w:ascii="Arial" w:hAnsi="Arial" w:cs="Arial"/>
                <w:sz w:val="23"/>
                <w:szCs w:val="23"/>
              </w:rPr>
            </w:pPr>
            <w:r w:rsidRPr="00666A2A">
              <w:rPr>
                <w:rFonts w:ascii="Arial" w:hAnsi="Arial" w:cs="Arial"/>
                <w:sz w:val="23"/>
                <w:szCs w:val="23"/>
              </w:rPr>
              <w:t>N/A</w:t>
            </w:r>
          </w:p>
        </w:tc>
        <w:tc>
          <w:tcPr>
            <w:tcW w:w="9639" w:type="dxa"/>
          </w:tcPr>
          <w:p w14:paraId="66654C0D" w14:textId="0FDF9381" w:rsidR="00770FAC" w:rsidRPr="00666A2A" w:rsidRDefault="00770FAC" w:rsidP="00580B7B">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5723735A" w14:textId="0011BEDB" w:rsidR="00770FAC" w:rsidRPr="00666A2A" w:rsidRDefault="00770FAC"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70FAC" w:rsidRPr="00666A2A" w14:paraId="6C33E009" w14:textId="77777777" w:rsidTr="003C781F">
        <w:tc>
          <w:tcPr>
            <w:tcW w:w="562" w:type="dxa"/>
          </w:tcPr>
          <w:p w14:paraId="3FDF8631" w14:textId="77777777" w:rsidR="00770FAC" w:rsidRPr="00666A2A" w:rsidRDefault="00770FAC"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7D2BE39C" w14:textId="5D769EDA" w:rsidR="00770FAC" w:rsidRPr="00666A2A" w:rsidRDefault="00770FAC" w:rsidP="00580B7B">
            <w:pPr>
              <w:spacing w:after="120"/>
              <w:rPr>
                <w:rFonts w:ascii="Arial" w:hAnsi="Arial" w:cs="Arial"/>
                <w:sz w:val="23"/>
                <w:szCs w:val="23"/>
              </w:rPr>
            </w:pPr>
            <w:r w:rsidRPr="00666A2A">
              <w:rPr>
                <w:rFonts w:ascii="Arial" w:hAnsi="Arial" w:cs="Arial"/>
                <w:sz w:val="23"/>
                <w:szCs w:val="23"/>
              </w:rPr>
              <w:t>Nedbank</w:t>
            </w:r>
          </w:p>
        </w:tc>
        <w:tc>
          <w:tcPr>
            <w:tcW w:w="1418" w:type="dxa"/>
          </w:tcPr>
          <w:p w14:paraId="17C7C166" w14:textId="7CBB71F4" w:rsidR="00770FAC" w:rsidRPr="00666A2A" w:rsidRDefault="00770FAC" w:rsidP="00580B7B">
            <w:pPr>
              <w:spacing w:after="120"/>
              <w:rPr>
                <w:rFonts w:ascii="Arial" w:hAnsi="Arial" w:cs="Arial"/>
                <w:sz w:val="23"/>
                <w:szCs w:val="23"/>
              </w:rPr>
            </w:pPr>
            <w:r w:rsidRPr="00666A2A">
              <w:rPr>
                <w:rFonts w:ascii="Arial" w:hAnsi="Arial" w:cs="Arial"/>
                <w:sz w:val="23"/>
                <w:szCs w:val="23"/>
              </w:rPr>
              <w:t>N/A</w:t>
            </w:r>
          </w:p>
        </w:tc>
        <w:tc>
          <w:tcPr>
            <w:tcW w:w="9639" w:type="dxa"/>
          </w:tcPr>
          <w:p w14:paraId="655324EB" w14:textId="0F2A7E07" w:rsidR="00770FAC" w:rsidRPr="00666A2A" w:rsidRDefault="00770FAC" w:rsidP="00580B7B">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41BC346C" w14:textId="43D37F0C" w:rsidR="00770FAC" w:rsidRPr="00666A2A" w:rsidRDefault="00770FAC"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70FAC" w:rsidRPr="00666A2A" w14:paraId="70D5D801" w14:textId="77777777" w:rsidTr="003C781F">
        <w:tc>
          <w:tcPr>
            <w:tcW w:w="562" w:type="dxa"/>
          </w:tcPr>
          <w:p w14:paraId="1D269A14" w14:textId="77777777" w:rsidR="00770FAC" w:rsidRPr="00666A2A" w:rsidRDefault="00770FAC"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6CF1BED0" w14:textId="2AB9076F" w:rsidR="00770FAC" w:rsidRPr="00666A2A" w:rsidRDefault="00770FAC" w:rsidP="00580B7B">
            <w:pPr>
              <w:spacing w:after="120"/>
              <w:rPr>
                <w:rFonts w:ascii="Arial" w:hAnsi="Arial" w:cs="Arial"/>
                <w:sz w:val="23"/>
                <w:szCs w:val="23"/>
              </w:rPr>
            </w:pPr>
            <w:r w:rsidRPr="00666A2A">
              <w:rPr>
                <w:rFonts w:ascii="Arial" w:hAnsi="Arial" w:cs="Arial"/>
                <w:sz w:val="23"/>
                <w:szCs w:val="23"/>
              </w:rPr>
              <w:t>SASLA</w:t>
            </w:r>
          </w:p>
        </w:tc>
        <w:tc>
          <w:tcPr>
            <w:tcW w:w="1418" w:type="dxa"/>
          </w:tcPr>
          <w:p w14:paraId="113231B1" w14:textId="3E0F9F31" w:rsidR="00770FAC" w:rsidRPr="00666A2A" w:rsidRDefault="00770FAC" w:rsidP="00580B7B">
            <w:pPr>
              <w:spacing w:after="120"/>
              <w:rPr>
                <w:rFonts w:ascii="Arial" w:hAnsi="Arial" w:cs="Arial"/>
                <w:sz w:val="23"/>
                <w:szCs w:val="23"/>
              </w:rPr>
            </w:pPr>
            <w:r w:rsidRPr="00666A2A">
              <w:rPr>
                <w:rFonts w:ascii="Arial" w:hAnsi="Arial" w:cs="Arial"/>
                <w:sz w:val="23"/>
                <w:szCs w:val="23"/>
              </w:rPr>
              <w:t>N/A</w:t>
            </w:r>
          </w:p>
        </w:tc>
        <w:tc>
          <w:tcPr>
            <w:tcW w:w="9639" w:type="dxa"/>
          </w:tcPr>
          <w:p w14:paraId="4DA91E27" w14:textId="6C3194ED" w:rsidR="00770FAC" w:rsidRPr="00666A2A" w:rsidRDefault="00770FAC" w:rsidP="00580B7B">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6BF6A99D" w14:textId="23BDBEA3" w:rsidR="00770FAC" w:rsidRPr="00666A2A" w:rsidRDefault="00770FAC"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r w:rsidR="00770FAC" w:rsidRPr="00666A2A" w14:paraId="593756EC" w14:textId="77777777" w:rsidTr="003C781F">
        <w:tc>
          <w:tcPr>
            <w:tcW w:w="562" w:type="dxa"/>
          </w:tcPr>
          <w:p w14:paraId="56CC94D3" w14:textId="77777777" w:rsidR="00770FAC" w:rsidRPr="00666A2A" w:rsidRDefault="00770FAC" w:rsidP="00580B7B">
            <w:pPr>
              <w:pStyle w:val="ListParagraph"/>
              <w:numPr>
                <w:ilvl w:val="0"/>
                <w:numId w:val="15"/>
              </w:numPr>
              <w:tabs>
                <w:tab w:val="left" w:pos="172"/>
              </w:tabs>
              <w:spacing w:after="120" w:line="276" w:lineRule="auto"/>
              <w:ind w:left="0" w:firstLine="0"/>
              <w:jc w:val="center"/>
              <w:rPr>
                <w:rFonts w:ascii="Arial" w:hAnsi="Arial" w:cs="Arial"/>
                <w:bCs/>
                <w:sz w:val="23"/>
                <w:szCs w:val="23"/>
                <w:lang w:val="en-GB"/>
              </w:rPr>
            </w:pPr>
          </w:p>
        </w:tc>
        <w:tc>
          <w:tcPr>
            <w:tcW w:w="1843" w:type="dxa"/>
          </w:tcPr>
          <w:p w14:paraId="0176433D" w14:textId="175EF8EE" w:rsidR="00770FAC" w:rsidRPr="00666A2A" w:rsidRDefault="00770FAC" w:rsidP="00580B7B">
            <w:pPr>
              <w:spacing w:after="120"/>
              <w:rPr>
                <w:rFonts w:ascii="Arial" w:hAnsi="Arial" w:cs="Arial"/>
                <w:sz w:val="23"/>
                <w:szCs w:val="23"/>
              </w:rPr>
            </w:pPr>
            <w:r w:rsidRPr="00666A2A">
              <w:rPr>
                <w:rFonts w:ascii="Arial" w:hAnsi="Arial" w:cs="Arial"/>
                <w:sz w:val="23"/>
                <w:szCs w:val="23"/>
              </w:rPr>
              <w:t>SBG</w:t>
            </w:r>
          </w:p>
        </w:tc>
        <w:tc>
          <w:tcPr>
            <w:tcW w:w="1418" w:type="dxa"/>
          </w:tcPr>
          <w:p w14:paraId="30FE33CF" w14:textId="785AF6E2" w:rsidR="00770FAC" w:rsidRPr="00666A2A" w:rsidRDefault="00770FAC" w:rsidP="00580B7B">
            <w:pPr>
              <w:spacing w:after="120"/>
              <w:rPr>
                <w:rFonts w:ascii="Arial" w:hAnsi="Arial" w:cs="Arial"/>
                <w:sz w:val="23"/>
                <w:szCs w:val="23"/>
              </w:rPr>
            </w:pPr>
            <w:r w:rsidRPr="00666A2A">
              <w:rPr>
                <w:rFonts w:ascii="Arial" w:hAnsi="Arial" w:cs="Arial"/>
                <w:sz w:val="23"/>
                <w:szCs w:val="23"/>
              </w:rPr>
              <w:t>N/A</w:t>
            </w:r>
          </w:p>
        </w:tc>
        <w:tc>
          <w:tcPr>
            <w:tcW w:w="9639" w:type="dxa"/>
          </w:tcPr>
          <w:p w14:paraId="23164BF7" w14:textId="452B45C1" w:rsidR="00770FAC" w:rsidRPr="00666A2A" w:rsidRDefault="00770FAC" w:rsidP="00580B7B">
            <w:pPr>
              <w:spacing w:after="120"/>
              <w:jc w:val="both"/>
              <w:rPr>
                <w:rFonts w:ascii="Arial" w:hAnsi="Arial" w:cs="Arial"/>
                <w:sz w:val="23"/>
                <w:szCs w:val="23"/>
              </w:rPr>
            </w:pPr>
            <w:r w:rsidRPr="00666A2A">
              <w:rPr>
                <w:rFonts w:ascii="Arial" w:hAnsi="Arial" w:cs="Arial"/>
                <w:sz w:val="23"/>
                <w:szCs w:val="23"/>
              </w:rPr>
              <w:t>No comment.</w:t>
            </w:r>
          </w:p>
        </w:tc>
        <w:tc>
          <w:tcPr>
            <w:tcW w:w="7229" w:type="dxa"/>
          </w:tcPr>
          <w:p w14:paraId="296D17D0" w14:textId="41473B12" w:rsidR="00770FAC" w:rsidRPr="00666A2A" w:rsidRDefault="00770FAC" w:rsidP="00580B7B">
            <w:pPr>
              <w:spacing w:after="120"/>
              <w:jc w:val="both"/>
              <w:rPr>
                <w:rFonts w:ascii="Arial" w:eastAsia="Times New Roman" w:hAnsi="Arial" w:cs="Arial"/>
                <w:sz w:val="23"/>
                <w:szCs w:val="23"/>
                <w:lang w:val="en-GB"/>
              </w:rPr>
            </w:pPr>
            <w:r w:rsidRPr="00666A2A">
              <w:rPr>
                <w:rFonts w:ascii="Arial" w:eastAsia="Times New Roman" w:hAnsi="Arial" w:cs="Arial"/>
                <w:sz w:val="23"/>
                <w:szCs w:val="23"/>
                <w:lang w:val="en-GB"/>
              </w:rPr>
              <w:t>Noted.</w:t>
            </w:r>
          </w:p>
        </w:tc>
      </w:tr>
    </w:tbl>
    <w:p w14:paraId="64E0A94A" w14:textId="77777777" w:rsidR="000B5567" w:rsidRPr="00666A2A" w:rsidRDefault="000B5567" w:rsidP="00D440AD">
      <w:pPr>
        <w:spacing w:after="0" w:line="240" w:lineRule="auto"/>
        <w:rPr>
          <w:rFonts w:ascii="Arial" w:hAnsi="Arial" w:cs="Arial"/>
          <w:sz w:val="23"/>
          <w:szCs w:val="23"/>
        </w:rPr>
        <w:sectPr w:rsidR="000B5567" w:rsidRPr="00666A2A" w:rsidSect="00A701F9">
          <w:pgSz w:w="23811" w:h="16838" w:orient="landscape" w:code="8"/>
          <w:pgMar w:top="1440" w:right="1440" w:bottom="1440" w:left="1440" w:header="708" w:footer="708" w:gutter="0"/>
          <w:cols w:space="708"/>
          <w:docGrid w:linePitch="360"/>
        </w:sectPr>
      </w:pPr>
    </w:p>
    <w:p w14:paraId="1A97FA27" w14:textId="77777777" w:rsidR="00617EB6" w:rsidRPr="00666A2A" w:rsidRDefault="00617EB6" w:rsidP="00617EB6">
      <w:pPr>
        <w:spacing w:after="0" w:line="240" w:lineRule="auto"/>
        <w:rPr>
          <w:rFonts w:ascii="Arial" w:hAnsi="Arial" w:cs="Arial"/>
          <w:b/>
          <w:bCs/>
          <w:sz w:val="23"/>
          <w:szCs w:val="23"/>
        </w:rPr>
      </w:pPr>
    </w:p>
    <w:p w14:paraId="5364722C" w14:textId="77777777" w:rsidR="00617EB6" w:rsidRPr="00666A2A" w:rsidRDefault="00617EB6" w:rsidP="004F5C0E">
      <w:pPr>
        <w:spacing w:after="0" w:line="240" w:lineRule="auto"/>
        <w:jc w:val="center"/>
        <w:rPr>
          <w:rFonts w:ascii="Arial" w:hAnsi="Arial" w:cs="Arial"/>
          <w:b/>
          <w:bCs/>
          <w:sz w:val="23"/>
          <w:szCs w:val="23"/>
        </w:rPr>
      </w:pPr>
      <w:r w:rsidRPr="00666A2A">
        <w:rPr>
          <w:rFonts w:ascii="Arial" w:hAnsi="Arial" w:cs="Arial"/>
          <w:b/>
          <w:bCs/>
          <w:sz w:val="23"/>
          <w:szCs w:val="23"/>
        </w:rPr>
        <w:t>Draft Prudential Standard RA01: Stays on Early-Termination Rights and Resolution Moratoria on Contracts of Designated Institutions in Resolution</w:t>
      </w:r>
    </w:p>
    <w:p w14:paraId="4F7CF12D" w14:textId="77777777" w:rsidR="00617EB6" w:rsidRPr="00666A2A" w:rsidRDefault="00617EB6" w:rsidP="004F5C0E">
      <w:pPr>
        <w:spacing w:after="0" w:line="240" w:lineRule="auto"/>
        <w:jc w:val="center"/>
        <w:rPr>
          <w:rFonts w:ascii="Arial" w:hAnsi="Arial" w:cs="Arial"/>
          <w:b/>
          <w:bCs/>
          <w:sz w:val="23"/>
          <w:szCs w:val="23"/>
        </w:rPr>
      </w:pPr>
    </w:p>
    <w:p w14:paraId="073D3A78" w14:textId="57EED767" w:rsidR="00617EB6" w:rsidRPr="00666A2A" w:rsidRDefault="00617EB6" w:rsidP="004F5C0E">
      <w:pPr>
        <w:spacing w:after="0" w:line="240" w:lineRule="auto"/>
        <w:jc w:val="center"/>
        <w:rPr>
          <w:rFonts w:ascii="Arial" w:hAnsi="Arial" w:cs="Arial"/>
          <w:b/>
          <w:bCs/>
          <w:sz w:val="23"/>
          <w:szCs w:val="23"/>
        </w:rPr>
      </w:pPr>
      <w:r w:rsidRPr="00666A2A">
        <w:rPr>
          <w:rFonts w:ascii="Arial" w:hAnsi="Arial" w:cs="Arial"/>
          <w:b/>
          <w:bCs/>
          <w:sz w:val="23"/>
          <w:szCs w:val="23"/>
        </w:rPr>
        <w:t>Summary of policy issues raised by industry bodies</w:t>
      </w:r>
    </w:p>
    <w:p w14:paraId="2FDB5FD4" w14:textId="0DF80BD4" w:rsidR="000B5567" w:rsidRPr="00666A2A" w:rsidRDefault="000B5567" w:rsidP="00D440AD">
      <w:pPr>
        <w:spacing w:after="0" w:line="240" w:lineRule="auto"/>
        <w:rPr>
          <w:rFonts w:ascii="Arial" w:hAnsi="Arial" w:cs="Arial"/>
          <w:sz w:val="23"/>
          <w:szCs w:val="23"/>
        </w:rPr>
      </w:pPr>
    </w:p>
    <w:p w14:paraId="1F0BD6FA" w14:textId="2442F363" w:rsidR="000B5567" w:rsidRPr="00666A2A" w:rsidRDefault="000B5567" w:rsidP="00D440AD">
      <w:pPr>
        <w:spacing w:after="0" w:line="240" w:lineRule="auto"/>
        <w:rPr>
          <w:rFonts w:ascii="Arial" w:hAnsi="Arial" w:cs="Arial"/>
          <w:sz w:val="23"/>
          <w:szCs w:val="23"/>
        </w:rPr>
      </w:pPr>
    </w:p>
    <w:p w14:paraId="377FEA24" w14:textId="4146445D" w:rsidR="000B5567" w:rsidRPr="00666A2A" w:rsidRDefault="000B5567" w:rsidP="00D440AD">
      <w:pPr>
        <w:spacing w:after="0" w:line="240" w:lineRule="auto"/>
        <w:rPr>
          <w:rFonts w:ascii="Arial" w:hAnsi="Arial" w:cs="Arial"/>
          <w:sz w:val="23"/>
          <w:szCs w:val="23"/>
        </w:rPr>
      </w:pPr>
    </w:p>
    <w:p w14:paraId="3FB98318" w14:textId="18FAF534" w:rsidR="000B5567" w:rsidRPr="00666A2A" w:rsidRDefault="000B5567" w:rsidP="00D440AD">
      <w:pPr>
        <w:spacing w:after="0" w:line="240" w:lineRule="auto"/>
        <w:rPr>
          <w:rFonts w:ascii="Arial" w:hAnsi="Arial" w:cs="Arial"/>
          <w:sz w:val="23"/>
          <w:szCs w:val="23"/>
        </w:rPr>
      </w:pPr>
      <w:r w:rsidRPr="00666A2A">
        <w:rPr>
          <w:rFonts w:ascii="Arial" w:hAnsi="Arial" w:cs="Arial"/>
          <w:b/>
          <w:bCs/>
          <w:sz w:val="23"/>
          <w:szCs w:val="23"/>
        </w:rPr>
        <w:t xml:space="preserve">Table </w:t>
      </w:r>
      <w:r w:rsidR="00FF7CA2" w:rsidRPr="00666A2A">
        <w:rPr>
          <w:rFonts w:ascii="Arial" w:hAnsi="Arial" w:cs="Arial"/>
          <w:b/>
          <w:bCs/>
          <w:sz w:val="23"/>
          <w:szCs w:val="23"/>
        </w:rPr>
        <w:t>3</w:t>
      </w:r>
      <w:r w:rsidR="004F5C0E" w:rsidRPr="00666A2A">
        <w:rPr>
          <w:rFonts w:ascii="Arial" w:hAnsi="Arial" w:cs="Arial"/>
          <w:sz w:val="23"/>
          <w:szCs w:val="23"/>
        </w:rPr>
        <w:t xml:space="preserve"> – Summary of policy issues raised by industry bodies</w:t>
      </w:r>
    </w:p>
    <w:p w14:paraId="1454BE3B" w14:textId="77777777" w:rsidR="004F5C0E" w:rsidRPr="00666A2A" w:rsidRDefault="004F5C0E" w:rsidP="00D440AD">
      <w:pPr>
        <w:spacing w:after="0" w:line="240" w:lineRule="auto"/>
        <w:rPr>
          <w:rFonts w:ascii="Arial" w:hAnsi="Arial" w:cs="Arial"/>
          <w:sz w:val="23"/>
          <w:szCs w:val="23"/>
        </w:rPr>
      </w:pPr>
    </w:p>
    <w:tbl>
      <w:tblPr>
        <w:tblStyle w:val="TableGrid"/>
        <w:tblW w:w="20407" w:type="dxa"/>
        <w:tblLayout w:type="fixed"/>
        <w:tblLook w:val="04A0" w:firstRow="1" w:lastRow="0" w:firstColumn="1" w:lastColumn="0" w:noHBand="0" w:noVBand="1"/>
      </w:tblPr>
      <w:tblGrid>
        <w:gridCol w:w="1843"/>
        <w:gridCol w:w="9918"/>
        <w:gridCol w:w="8646"/>
      </w:tblGrid>
      <w:tr w:rsidR="00A109C7" w:rsidRPr="00666A2A" w14:paraId="02CF4D5F" w14:textId="5BF85CC0" w:rsidTr="002F4B9B">
        <w:trPr>
          <w:tblHeader/>
        </w:trPr>
        <w:tc>
          <w:tcPr>
            <w:tcW w:w="1843" w:type="dxa"/>
            <w:shd w:val="clear" w:color="auto" w:fill="BFBFBF" w:themeFill="background1" w:themeFillShade="BF"/>
          </w:tcPr>
          <w:p w14:paraId="302CA843" w14:textId="77777777" w:rsidR="00FF7CA2" w:rsidRPr="00666A2A" w:rsidRDefault="00FF7CA2" w:rsidP="00580B7B">
            <w:pPr>
              <w:spacing w:after="120" w:line="360" w:lineRule="auto"/>
              <w:rPr>
                <w:rFonts w:ascii="Arial" w:hAnsi="Arial" w:cs="Arial"/>
                <w:b/>
                <w:color w:val="FFFFFF" w:themeColor="background1"/>
                <w:sz w:val="23"/>
                <w:szCs w:val="23"/>
                <w:lang w:val="en-GB"/>
              </w:rPr>
            </w:pPr>
            <w:r w:rsidRPr="00666A2A">
              <w:rPr>
                <w:rFonts w:ascii="Arial" w:hAnsi="Arial" w:cs="Arial"/>
                <w:b/>
                <w:color w:val="FFFFFF" w:themeColor="background1"/>
                <w:sz w:val="23"/>
                <w:szCs w:val="23"/>
                <w:lang w:val="en-GB"/>
              </w:rPr>
              <w:t>Commentator</w:t>
            </w:r>
          </w:p>
        </w:tc>
        <w:tc>
          <w:tcPr>
            <w:tcW w:w="9918" w:type="dxa"/>
            <w:shd w:val="clear" w:color="auto" w:fill="BFBFBF" w:themeFill="background1" w:themeFillShade="BF"/>
          </w:tcPr>
          <w:p w14:paraId="3C3FD64D" w14:textId="21B2B80A" w:rsidR="00FF7CA2" w:rsidRPr="00666A2A" w:rsidRDefault="00FF7CA2" w:rsidP="00580B7B">
            <w:pPr>
              <w:spacing w:after="120" w:line="360" w:lineRule="auto"/>
              <w:rPr>
                <w:rFonts w:ascii="Arial" w:hAnsi="Arial" w:cs="Arial"/>
                <w:color w:val="FFFFFF" w:themeColor="background1"/>
                <w:sz w:val="23"/>
                <w:szCs w:val="23"/>
                <w:lang w:val="en-GB"/>
              </w:rPr>
            </w:pPr>
            <w:r w:rsidRPr="00666A2A">
              <w:rPr>
                <w:rFonts w:ascii="Arial" w:hAnsi="Arial" w:cs="Arial"/>
                <w:b/>
                <w:color w:val="FFFFFF" w:themeColor="background1"/>
                <w:sz w:val="23"/>
                <w:szCs w:val="23"/>
                <w:lang w:val="en-GB"/>
              </w:rPr>
              <w:t>Submission summary</w:t>
            </w:r>
          </w:p>
        </w:tc>
        <w:tc>
          <w:tcPr>
            <w:tcW w:w="8646" w:type="dxa"/>
            <w:shd w:val="clear" w:color="auto" w:fill="BFBFBF" w:themeFill="background1" w:themeFillShade="BF"/>
          </w:tcPr>
          <w:p w14:paraId="620B1939" w14:textId="2D5E1E37" w:rsidR="00FF7CA2" w:rsidRPr="00666A2A" w:rsidRDefault="00FF7CA2" w:rsidP="00580B7B">
            <w:pPr>
              <w:spacing w:after="120" w:line="360" w:lineRule="auto"/>
              <w:rPr>
                <w:rFonts w:ascii="Arial" w:hAnsi="Arial" w:cs="Arial"/>
                <w:b/>
                <w:color w:val="FFFFFF" w:themeColor="background1"/>
                <w:sz w:val="23"/>
                <w:szCs w:val="23"/>
                <w:lang w:val="en-GB"/>
              </w:rPr>
            </w:pPr>
            <w:r w:rsidRPr="00666A2A">
              <w:rPr>
                <w:rFonts w:ascii="Arial" w:hAnsi="Arial" w:cs="Arial"/>
                <w:b/>
                <w:color w:val="FFFFFF" w:themeColor="background1"/>
                <w:sz w:val="23"/>
                <w:szCs w:val="23"/>
                <w:lang w:val="en-GB"/>
              </w:rPr>
              <w:t xml:space="preserve">Response </w:t>
            </w:r>
          </w:p>
        </w:tc>
      </w:tr>
      <w:tr w:rsidR="002F4B9B" w:rsidRPr="00666A2A" w14:paraId="795DA022" w14:textId="5ED399FD" w:rsidTr="003F701D">
        <w:tc>
          <w:tcPr>
            <w:tcW w:w="20407" w:type="dxa"/>
            <w:gridSpan w:val="3"/>
          </w:tcPr>
          <w:p w14:paraId="76C76988" w14:textId="10589210" w:rsidR="002F4B9B" w:rsidRPr="00666A2A" w:rsidRDefault="002F4B9B" w:rsidP="007B6847">
            <w:pPr>
              <w:spacing w:before="120" w:after="120" w:line="360" w:lineRule="auto"/>
              <w:jc w:val="center"/>
              <w:rPr>
                <w:rFonts w:ascii="Arial" w:hAnsi="Arial" w:cs="Arial"/>
                <w:b/>
                <w:bCs/>
                <w:sz w:val="23"/>
                <w:szCs w:val="23"/>
              </w:rPr>
            </w:pPr>
            <w:r w:rsidRPr="00666A2A">
              <w:rPr>
                <w:rFonts w:ascii="Arial" w:hAnsi="Arial" w:cs="Arial"/>
                <w:b/>
                <w:bCs/>
                <w:sz w:val="23"/>
                <w:szCs w:val="23"/>
              </w:rPr>
              <w:t>General</w:t>
            </w:r>
          </w:p>
        </w:tc>
      </w:tr>
      <w:tr w:rsidR="00FF7CA2" w:rsidRPr="00666A2A" w14:paraId="37AD5B6E" w14:textId="5B287274" w:rsidTr="00FF7CA2">
        <w:tc>
          <w:tcPr>
            <w:tcW w:w="1843" w:type="dxa"/>
          </w:tcPr>
          <w:p w14:paraId="46846F17" w14:textId="4C18A65D" w:rsidR="00FF7CA2" w:rsidRPr="00666A2A" w:rsidRDefault="00FF7CA2" w:rsidP="00580B7B">
            <w:pPr>
              <w:spacing w:after="120" w:line="360" w:lineRule="auto"/>
              <w:rPr>
                <w:rFonts w:ascii="Arial" w:hAnsi="Arial" w:cs="Arial"/>
                <w:sz w:val="23"/>
                <w:szCs w:val="23"/>
                <w:lang w:val="en-GB"/>
              </w:rPr>
            </w:pPr>
            <w:r w:rsidRPr="00666A2A">
              <w:rPr>
                <w:rFonts w:ascii="Arial" w:hAnsi="Arial" w:cs="Arial"/>
                <w:sz w:val="23"/>
                <w:szCs w:val="23"/>
              </w:rPr>
              <w:t>ICMA and ISLA</w:t>
            </w:r>
          </w:p>
        </w:tc>
        <w:tc>
          <w:tcPr>
            <w:tcW w:w="9918" w:type="dxa"/>
          </w:tcPr>
          <w:p w14:paraId="61A6A09E" w14:textId="6D57EC42" w:rsidR="00FF7CA2" w:rsidRPr="00666A2A" w:rsidRDefault="00FF7CA2" w:rsidP="00B35EBC">
            <w:pPr>
              <w:spacing w:after="120" w:line="360" w:lineRule="auto"/>
              <w:jc w:val="both"/>
              <w:rPr>
                <w:rFonts w:ascii="Arial" w:hAnsi="Arial" w:cs="Arial"/>
                <w:sz w:val="23"/>
                <w:szCs w:val="23"/>
              </w:rPr>
            </w:pPr>
            <w:r w:rsidRPr="00666A2A">
              <w:rPr>
                <w:rFonts w:ascii="Arial" w:hAnsi="Arial" w:cs="Arial"/>
                <w:sz w:val="23"/>
                <w:szCs w:val="23"/>
              </w:rPr>
              <w:t xml:space="preserve">ICMA and ISLA fully support the principles underpinning orderly resolution of DIs and the need to maintain financial stability and protect the interests of depositors, </w:t>
            </w:r>
            <w:proofErr w:type="gramStart"/>
            <w:r w:rsidRPr="00666A2A">
              <w:rPr>
                <w:rFonts w:ascii="Arial" w:hAnsi="Arial" w:cs="Arial"/>
                <w:sz w:val="23"/>
                <w:szCs w:val="23"/>
              </w:rPr>
              <w:t>creditors</w:t>
            </w:r>
            <w:proofErr w:type="gramEnd"/>
            <w:r w:rsidRPr="00666A2A">
              <w:rPr>
                <w:rFonts w:ascii="Arial" w:hAnsi="Arial" w:cs="Arial"/>
                <w:sz w:val="23"/>
                <w:szCs w:val="23"/>
              </w:rPr>
              <w:t xml:space="preserve"> and shareholders of DIs in resolution. The comments set out in this letter are not intended to impede the process of finalising the Draft Standard.</w:t>
            </w:r>
          </w:p>
        </w:tc>
        <w:tc>
          <w:tcPr>
            <w:tcW w:w="8646" w:type="dxa"/>
          </w:tcPr>
          <w:p w14:paraId="39BBA348" w14:textId="49CF7DCA" w:rsidR="00FF7CA2" w:rsidRPr="00666A2A" w:rsidRDefault="00FF7CA2" w:rsidP="00580B7B">
            <w:pPr>
              <w:spacing w:after="120" w:line="360" w:lineRule="auto"/>
              <w:rPr>
                <w:rFonts w:ascii="Arial" w:hAnsi="Arial" w:cs="Arial"/>
                <w:sz w:val="23"/>
                <w:szCs w:val="23"/>
              </w:rPr>
            </w:pPr>
            <w:r w:rsidRPr="00666A2A">
              <w:rPr>
                <w:rFonts w:ascii="Arial" w:hAnsi="Arial" w:cs="Arial"/>
                <w:sz w:val="23"/>
                <w:szCs w:val="23"/>
              </w:rPr>
              <w:t>The comment is noted.</w:t>
            </w:r>
          </w:p>
        </w:tc>
      </w:tr>
      <w:tr w:rsidR="00FF7CA2" w:rsidRPr="00666A2A" w14:paraId="20FBC25F" w14:textId="6E73E482" w:rsidTr="00FF7CA2">
        <w:tc>
          <w:tcPr>
            <w:tcW w:w="1843" w:type="dxa"/>
          </w:tcPr>
          <w:p w14:paraId="4AF94B6B" w14:textId="77777777" w:rsidR="00FF7CA2" w:rsidRPr="00666A2A" w:rsidRDefault="00FF7CA2" w:rsidP="00580B7B">
            <w:pPr>
              <w:spacing w:after="120" w:line="360" w:lineRule="auto"/>
              <w:rPr>
                <w:rFonts w:ascii="Arial" w:hAnsi="Arial" w:cs="Arial"/>
                <w:sz w:val="23"/>
                <w:szCs w:val="23"/>
                <w:lang w:val="en-GB"/>
              </w:rPr>
            </w:pPr>
            <w:r w:rsidRPr="00666A2A">
              <w:rPr>
                <w:rFonts w:ascii="Arial" w:hAnsi="Arial" w:cs="Arial"/>
                <w:sz w:val="23"/>
                <w:szCs w:val="23"/>
              </w:rPr>
              <w:t>ISDA</w:t>
            </w:r>
          </w:p>
        </w:tc>
        <w:tc>
          <w:tcPr>
            <w:tcW w:w="9918" w:type="dxa"/>
          </w:tcPr>
          <w:p w14:paraId="58CF2CE0" w14:textId="0D7C5FCB" w:rsidR="00FF7CA2" w:rsidRPr="00666A2A" w:rsidRDefault="00FF7CA2" w:rsidP="00B35EBC">
            <w:pPr>
              <w:spacing w:after="120" w:line="360" w:lineRule="auto"/>
              <w:jc w:val="both"/>
              <w:rPr>
                <w:rFonts w:ascii="Arial" w:hAnsi="Arial" w:cs="Arial"/>
                <w:sz w:val="23"/>
                <w:szCs w:val="23"/>
              </w:rPr>
            </w:pPr>
            <w:r w:rsidRPr="00666A2A">
              <w:rPr>
                <w:rFonts w:ascii="Arial" w:hAnsi="Arial" w:cs="Arial"/>
                <w:sz w:val="23"/>
                <w:szCs w:val="23"/>
              </w:rPr>
              <w:t xml:space="preserve">ISDA Inc. fully supports the principles underpinning orderly resolution of DIs and the need to maintain financial stability and protect the interests of depositors, </w:t>
            </w:r>
            <w:proofErr w:type="gramStart"/>
            <w:r w:rsidRPr="00666A2A">
              <w:rPr>
                <w:rFonts w:ascii="Arial" w:hAnsi="Arial" w:cs="Arial"/>
                <w:sz w:val="23"/>
                <w:szCs w:val="23"/>
              </w:rPr>
              <w:t>creditors</w:t>
            </w:r>
            <w:proofErr w:type="gramEnd"/>
            <w:r w:rsidRPr="00666A2A">
              <w:rPr>
                <w:rFonts w:ascii="Arial" w:hAnsi="Arial" w:cs="Arial"/>
                <w:sz w:val="23"/>
                <w:szCs w:val="23"/>
              </w:rPr>
              <w:t xml:space="preserve"> and shareholders of DIs in resolution.</w:t>
            </w:r>
          </w:p>
        </w:tc>
        <w:tc>
          <w:tcPr>
            <w:tcW w:w="8646" w:type="dxa"/>
          </w:tcPr>
          <w:p w14:paraId="6F1249E2" w14:textId="19BD3F35" w:rsidR="00FF7CA2" w:rsidRPr="00666A2A" w:rsidRDefault="00FF7CA2" w:rsidP="00580B7B">
            <w:pPr>
              <w:spacing w:after="120" w:line="360" w:lineRule="auto"/>
              <w:rPr>
                <w:rFonts w:ascii="Arial" w:hAnsi="Arial" w:cs="Arial"/>
                <w:sz w:val="23"/>
                <w:szCs w:val="23"/>
              </w:rPr>
            </w:pPr>
            <w:r w:rsidRPr="00666A2A">
              <w:rPr>
                <w:rFonts w:ascii="Arial" w:hAnsi="Arial" w:cs="Arial"/>
                <w:sz w:val="23"/>
                <w:szCs w:val="23"/>
              </w:rPr>
              <w:t>The comment is noted.</w:t>
            </w:r>
          </w:p>
        </w:tc>
      </w:tr>
      <w:tr w:rsidR="00FF7CA2" w:rsidRPr="00666A2A" w14:paraId="37B502CD" w14:textId="2BA94A48" w:rsidTr="00FF7CA2">
        <w:tc>
          <w:tcPr>
            <w:tcW w:w="1843" w:type="dxa"/>
          </w:tcPr>
          <w:p w14:paraId="135B6314" w14:textId="77777777" w:rsidR="00FF7CA2" w:rsidRPr="00666A2A" w:rsidRDefault="00FF7CA2" w:rsidP="00580B7B">
            <w:pPr>
              <w:spacing w:after="120" w:line="360" w:lineRule="auto"/>
              <w:rPr>
                <w:rFonts w:ascii="Arial" w:hAnsi="Arial" w:cs="Arial"/>
                <w:sz w:val="23"/>
                <w:szCs w:val="23"/>
                <w:lang w:val="en-GB"/>
              </w:rPr>
            </w:pPr>
            <w:r w:rsidRPr="00666A2A">
              <w:rPr>
                <w:rFonts w:ascii="Arial" w:hAnsi="Arial" w:cs="Arial"/>
                <w:sz w:val="23"/>
                <w:szCs w:val="23"/>
              </w:rPr>
              <w:t>SASLA</w:t>
            </w:r>
          </w:p>
        </w:tc>
        <w:tc>
          <w:tcPr>
            <w:tcW w:w="9918" w:type="dxa"/>
          </w:tcPr>
          <w:p w14:paraId="33F4AC24" w14:textId="738F3AC5" w:rsidR="00FF7CA2" w:rsidRPr="00666A2A" w:rsidRDefault="00FF7CA2" w:rsidP="00B35EBC">
            <w:pPr>
              <w:spacing w:after="120" w:line="360" w:lineRule="auto"/>
              <w:jc w:val="both"/>
              <w:rPr>
                <w:rFonts w:ascii="Arial" w:hAnsi="Arial" w:cs="Arial"/>
                <w:sz w:val="23"/>
                <w:szCs w:val="23"/>
              </w:rPr>
            </w:pPr>
            <w:r w:rsidRPr="00666A2A">
              <w:rPr>
                <w:rFonts w:ascii="Arial" w:hAnsi="Arial" w:cs="Arial"/>
                <w:sz w:val="23"/>
                <w:szCs w:val="23"/>
              </w:rPr>
              <w:t>SASLA fully supports the aims of the FSLA Act and the Draft Standard, which respectively have established a framework for the Reserve Bank's resolution powers in respect of failing institutions and will clarify the Reserve Bank's specific powers to impose stays and moratoria on early termination rights. The comments are not intended to impede the process of finalising the Draft Standard.</w:t>
            </w:r>
          </w:p>
        </w:tc>
        <w:tc>
          <w:tcPr>
            <w:tcW w:w="8646" w:type="dxa"/>
          </w:tcPr>
          <w:p w14:paraId="18936448" w14:textId="0C2E9ED0" w:rsidR="00FF7CA2" w:rsidRPr="00666A2A" w:rsidRDefault="00FF7CA2" w:rsidP="00580B7B">
            <w:pPr>
              <w:spacing w:after="120" w:line="360" w:lineRule="auto"/>
              <w:rPr>
                <w:rFonts w:ascii="Arial" w:hAnsi="Arial" w:cs="Arial"/>
                <w:sz w:val="23"/>
                <w:szCs w:val="23"/>
              </w:rPr>
            </w:pPr>
            <w:r w:rsidRPr="00666A2A">
              <w:rPr>
                <w:rFonts w:ascii="Arial" w:hAnsi="Arial" w:cs="Arial"/>
                <w:sz w:val="23"/>
                <w:szCs w:val="23"/>
              </w:rPr>
              <w:t>The comment is noted.</w:t>
            </w:r>
          </w:p>
        </w:tc>
      </w:tr>
      <w:tr w:rsidR="002F4B9B" w:rsidRPr="00666A2A" w14:paraId="02AA38BE" w14:textId="697AD381" w:rsidTr="000D0DD8">
        <w:tc>
          <w:tcPr>
            <w:tcW w:w="20407" w:type="dxa"/>
            <w:gridSpan w:val="3"/>
          </w:tcPr>
          <w:p w14:paraId="2810E24B" w14:textId="6ABA94EE" w:rsidR="002F4B9B" w:rsidRPr="00666A2A" w:rsidRDefault="002F4B9B" w:rsidP="007B6847">
            <w:pPr>
              <w:spacing w:before="120" w:after="120" w:line="360" w:lineRule="auto"/>
              <w:jc w:val="center"/>
              <w:rPr>
                <w:rFonts w:ascii="Arial" w:hAnsi="Arial" w:cs="Arial"/>
                <w:b/>
                <w:bCs/>
                <w:sz w:val="23"/>
                <w:szCs w:val="23"/>
              </w:rPr>
            </w:pPr>
            <w:r w:rsidRPr="00666A2A">
              <w:rPr>
                <w:rFonts w:ascii="Arial" w:hAnsi="Arial" w:cs="Arial"/>
                <w:b/>
                <w:bCs/>
                <w:sz w:val="23"/>
                <w:szCs w:val="23"/>
              </w:rPr>
              <w:t>Legal certainty</w:t>
            </w:r>
          </w:p>
        </w:tc>
      </w:tr>
      <w:tr w:rsidR="00FF7CA2" w:rsidRPr="00666A2A" w14:paraId="39586550" w14:textId="2AC61656" w:rsidTr="00FF7CA2">
        <w:tc>
          <w:tcPr>
            <w:tcW w:w="1843" w:type="dxa"/>
          </w:tcPr>
          <w:p w14:paraId="20811557" w14:textId="7279F71F" w:rsidR="00FF7CA2" w:rsidRPr="00666A2A" w:rsidRDefault="00FF7CA2" w:rsidP="00580B7B">
            <w:pPr>
              <w:spacing w:after="120" w:line="360" w:lineRule="auto"/>
              <w:rPr>
                <w:rFonts w:ascii="Arial" w:hAnsi="Arial" w:cs="Arial"/>
                <w:sz w:val="23"/>
                <w:szCs w:val="23"/>
              </w:rPr>
            </w:pPr>
            <w:r w:rsidRPr="00666A2A">
              <w:rPr>
                <w:rFonts w:ascii="Arial" w:hAnsi="Arial" w:cs="Arial"/>
                <w:sz w:val="23"/>
                <w:szCs w:val="23"/>
              </w:rPr>
              <w:t>ICMA and ISLA</w:t>
            </w:r>
          </w:p>
        </w:tc>
        <w:tc>
          <w:tcPr>
            <w:tcW w:w="9918" w:type="dxa"/>
          </w:tcPr>
          <w:p w14:paraId="131C735D" w14:textId="646616EF" w:rsidR="00FF7CA2" w:rsidRPr="00666A2A" w:rsidRDefault="00FF7CA2" w:rsidP="00B35EBC">
            <w:pPr>
              <w:spacing w:after="120" w:line="360" w:lineRule="auto"/>
              <w:jc w:val="both"/>
              <w:rPr>
                <w:rFonts w:ascii="Arial" w:hAnsi="Arial" w:cs="Arial"/>
                <w:sz w:val="23"/>
                <w:szCs w:val="23"/>
              </w:rPr>
            </w:pPr>
            <w:r w:rsidRPr="00666A2A">
              <w:rPr>
                <w:rFonts w:ascii="Arial" w:hAnsi="Arial" w:cs="Arial"/>
                <w:sz w:val="23"/>
                <w:szCs w:val="23"/>
              </w:rPr>
              <w:t>This current proposed treatment of GMSLA Transactions and GMRA Transactions gives rise to significant uncertainty and cuts across the manner in which these transactions have been dealt with in resolution regimes in Europe, the UK and elsewhere. If the Reserve Bank determines that it is necessary to cancel a GMSLA Transaction or a GMRA Transaction in terms of S166S(7)(b) of the FSRA, the consequence of such cancellation is unclear</w:t>
            </w:r>
          </w:p>
        </w:tc>
        <w:tc>
          <w:tcPr>
            <w:tcW w:w="8646" w:type="dxa"/>
          </w:tcPr>
          <w:p w14:paraId="0C53B8D6" w14:textId="6EE1408C" w:rsidR="00FF7CA2" w:rsidRPr="00666A2A" w:rsidRDefault="00FF7CA2" w:rsidP="00A05BBF">
            <w:pPr>
              <w:spacing w:after="120" w:line="360" w:lineRule="auto"/>
              <w:jc w:val="both"/>
              <w:rPr>
                <w:rFonts w:ascii="Arial" w:hAnsi="Arial" w:cs="Arial"/>
                <w:sz w:val="23"/>
                <w:szCs w:val="23"/>
              </w:rPr>
            </w:pPr>
            <w:r w:rsidRPr="00666A2A">
              <w:rPr>
                <w:rFonts w:ascii="Arial" w:hAnsi="Arial" w:cs="Arial"/>
                <w:sz w:val="23"/>
                <w:szCs w:val="23"/>
              </w:rPr>
              <w:t xml:space="preserve">The comment is noted. Efforts are underway to ensure that the concerns raised in the submission and during subsequent engagements between the </w:t>
            </w:r>
            <w:r w:rsidR="001C5327" w:rsidRPr="00666A2A">
              <w:rPr>
                <w:rFonts w:ascii="Arial" w:hAnsi="Arial" w:cs="Arial"/>
                <w:sz w:val="23"/>
                <w:szCs w:val="23"/>
              </w:rPr>
              <w:t>Reserve Bank</w:t>
            </w:r>
            <w:r w:rsidR="00875D12" w:rsidRPr="00666A2A">
              <w:rPr>
                <w:rFonts w:ascii="Arial" w:hAnsi="Arial" w:cs="Arial"/>
                <w:sz w:val="23"/>
                <w:szCs w:val="23"/>
              </w:rPr>
              <w:t xml:space="preserve">, the National Treasury and the industry bodies concerned are addressed adequately. </w:t>
            </w:r>
          </w:p>
        </w:tc>
      </w:tr>
      <w:tr w:rsidR="00875D12" w:rsidRPr="00666A2A" w14:paraId="5930365D" w14:textId="02E6AA2F" w:rsidTr="00FF7CA2">
        <w:tc>
          <w:tcPr>
            <w:tcW w:w="1843" w:type="dxa"/>
          </w:tcPr>
          <w:p w14:paraId="43E67DA3" w14:textId="75091047" w:rsidR="00875D12" w:rsidRPr="00666A2A" w:rsidRDefault="00875D12" w:rsidP="00580B7B">
            <w:pPr>
              <w:spacing w:after="120" w:line="360" w:lineRule="auto"/>
              <w:rPr>
                <w:rFonts w:ascii="Arial" w:hAnsi="Arial" w:cs="Arial"/>
                <w:sz w:val="23"/>
                <w:szCs w:val="23"/>
              </w:rPr>
            </w:pPr>
            <w:r w:rsidRPr="00666A2A">
              <w:rPr>
                <w:rFonts w:ascii="Arial" w:hAnsi="Arial" w:cs="Arial"/>
                <w:sz w:val="23"/>
                <w:szCs w:val="23"/>
              </w:rPr>
              <w:lastRenderedPageBreak/>
              <w:t>ISDA</w:t>
            </w:r>
          </w:p>
        </w:tc>
        <w:tc>
          <w:tcPr>
            <w:tcW w:w="9918" w:type="dxa"/>
          </w:tcPr>
          <w:p w14:paraId="009BB745" w14:textId="77777777" w:rsidR="00875D12" w:rsidRPr="00666A2A" w:rsidRDefault="00875D12" w:rsidP="00B35EBC">
            <w:pPr>
              <w:spacing w:after="120" w:line="360" w:lineRule="auto"/>
              <w:jc w:val="both"/>
              <w:rPr>
                <w:rFonts w:ascii="Arial" w:hAnsi="Arial" w:cs="Arial"/>
                <w:sz w:val="23"/>
                <w:szCs w:val="23"/>
              </w:rPr>
            </w:pPr>
            <w:r w:rsidRPr="00666A2A">
              <w:rPr>
                <w:rFonts w:ascii="Arial" w:hAnsi="Arial" w:cs="Arial"/>
                <w:sz w:val="23"/>
                <w:szCs w:val="23"/>
              </w:rPr>
              <w:t>ISDA Inc. stresses that Chapter 12A of Financial Sector Regulation Act, 2017 (FSRA) cannot be declared effective until the fatal flaw discussed in these submissions has been remedied</w:t>
            </w:r>
          </w:p>
          <w:p w14:paraId="7C6EB3DF" w14:textId="70D272E2" w:rsidR="00875D12" w:rsidRPr="00666A2A" w:rsidRDefault="00875D12" w:rsidP="00B35EBC">
            <w:pPr>
              <w:spacing w:after="120" w:line="360" w:lineRule="auto"/>
              <w:jc w:val="both"/>
              <w:rPr>
                <w:rFonts w:ascii="Arial" w:hAnsi="Arial" w:cs="Arial"/>
                <w:sz w:val="23"/>
                <w:szCs w:val="23"/>
              </w:rPr>
            </w:pPr>
            <w:r w:rsidRPr="00666A2A">
              <w:rPr>
                <w:rFonts w:ascii="Arial" w:hAnsi="Arial" w:cs="Arial"/>
                <w:sz w:val="23"/>
                <w:szCs w:val="23"/>
              </w:rPr>
              <w:t>The current language of the FSRA exposes securities lending and repo transactions to the SARB’s powers (</w:t>
            </w:r>
            <w:proofErr w:type="spellStart"/>
            <w:r w:rsidRPr="00666A2A">
              <w:rPr>
                <w:rFonts w:ascii="Arial" w:hAnsi="Arial" w:cs="Arial"/>
                <w:sz w:val="23"/>
                <w:szCs w:val="23"/>
              </w:rPr>
              <w:t>i</w:t>
            </w:r>
            <w:proofErr w:type="spellEnd"/>
            <w:r w:rsidRPr="00666A2A">
              <w:rPr>
                <w:rFonts w:ascii="Arial" w:hAnsi="Arial" w:cs="Arial"/>
                <w:sz w:val="23"/>
                <w:szCs w:val="23"/>
              </w:rPr>
              <w:t>) to reduce amounts payable by the DI to its counterparty, and (ii) to cancel the agreement which documents the securities lending and repo transaction.</w:t>
            </w:r>
          </w:p>
        </w:tc>
        <w:tc>
          <w:tcPr>
            <w:tcW w:w="8646" w:type="dxa"/>
          </w:tcPr>
          <w:p w14:paraId="661B88A4" w14:textId="0C795D23" w:rsidR="00875D1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t xml:space="preserve">The comment is noted. Efforts are underway to ensure that the concerns raised in the submission and during subsequent engagements between the </w:t>
            </w:r>
            <w:r w:rsidR="001C5327" w:rsidRPr="00666A2A">
              <w:rPr>
                <w:rFonts w:ascii="Arial" w:hAnsi="Arial" w:cs="Arial"/>
                <w:sz w:val="23"/>
                <w:szCs w:val="23"/>
              </w:rPr>
              <w:t>Reserve Bank</w:t>
            </w:r>
            <w:r w:rsidRPr="00666A2A">
              <w:rPr>
                <w:rFonts w:ascii="Arial" w:hAnsi="Arial" w:cs="Arial"/>
                <w:sz w:val="23"/>
                <w:szCs w:val="23"/>
              </w:rPr>
              <w:t xml:space="preserve">, the National Treasury and the industry bodies concerned are addressed adequately. </w:t>
            </w:r>
          </w:p>
        </w:tc>
      </w:tr>
      <w:tr w:rsidR="00875D12" w:rsidRPr="00666A2A" w14:paraId="38DEA68B" w14:textId="4955E4EE" w:rsidTr="00FF7CA2">
        <w:tc>
          <w:tcPr>
            <w:tcW w:w="1843" w:type="dxa"/>
          </w:tcPr>
          <w:p w14:paraId="5898FDD6" w14:textId="77C26575" w:rsidR="00875D12" w:rsidRPr="00666A2A" w:rsidRDefault="00875D12" w:rsidP="00580B7B">
            <w:pPr>
              <w:spacing w:after="120" w:line="360" w:lineRule="auto"/>
              <w:rPr>
                <w:rFonts w:ascii="Arial" w:hAnsi="Arial" w:cs="Arial"/>
                <w:sz w:val="23"/>
                <w:szCs w:val="23"/>
              </w:rPr>
            </w:pPr>
            <w:r w:rsidRPr="00666A2A">
              <w:rPr>
                <w:rFonts w:ascii="Arial" w:hAnsi="Arial" w:cs="Arial"/>
                <w:sz w:val="23"/>
                <w:szCs w:val="23"/>
              </w:rPr>
              <w:t>SASLA</w:t>
            </w:r>
          </w:p>
        </w:tc>
        <w:tc>
          <w:tcPr>
            <w:tcW w:w="9918" w:type="dxa"/>
          </w:tcPr>
          <w:p w14:paraId="004EDE67" w14:textId="70866C7D" w:rsidR="00875D12" w:rsidRPr="00666A2A" w:rsidRDefault="00875D12" w:rsidP="00B35EBC">
            <w:pPr>
              <w:spacing w:after="120" w:line="360" w:lineRule="auto"/>
              <w:jc w:val="both"/>
              <w:rPr>
                <w:rFonts w:ascii="Arial" w:hAnsi="Arial" w:cs="Arial"/>
                <w:sz w:val="23"/>
                <w:szCs w:val="23"/>
              </w:rPr>
            </w:pPr>
            <w:r w:rsidRPr="00666A2A">
              <w:rPr>
                <w:rFonts w:ascii="Arial" w:hAnsi="Arial" w:cs="Arial"/>
                <w:sz w:val="23"/>
                <w:szCs w:val="23"/>
              </w:rPr>
              <w:t>The Reserve Bank has drafted the Resolution Framework in a way that maintains legal certainty in respect of ISDAs and derivative transactions, but not in respect of GMSLAs and GMRAs. Section 166S(9)(b) specifically provides that “derivatives” are excluded from the reduction and cancellation powers of the Reserve Bank in section 166</w:t>
            </w:r>
            <w:proofErr w:type="gramStart"/>
            <w:r w:rsidRPr="00666A2A">
              <w:rPr>
                <w:rFonts w:ascii="Arial" w:hAnsi="Arial" w:cs="Arial"/>
                <w:sz w:val="23"/>
                <w:szCs w:val="23"/>
              </w:rPr>
              <w:t>S(</w:t>
            </w:r>
            <w:proofErr w:type="gramEnd"/>
            <w:r w:rsidRPr="00666A2A">
              <w:rPr>
                <w:rFonts w:ascii="Arial" w:hAnsi="Arial" w:cs="Arial"/>
                <w:sz w:val="23"/>
                <w:szCs w:val="23"/>
              </w:rPr>
              <w:t>7) when acting in its new role as resolution authority, but does not provide similar protection to repurchase and securities lending transactions. The result is a lack of clarity on how parties are to close out their GMSLAs and GMRAs on a cancellation by the resolution authority.</w:t>
            </w:r>
          </w:p>
        </w:tc>
        <w:tc>
          <w:tcPr>
            <w:tcW w:w="8646" w:type="dxa"/>
          </w:tcPr>
          <w:p w14:paraId="7F3C57C6" w14:textId="53D2F38C" w:rsidR="00875D1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t xml:space="preserve">The comment is noted. Efforts are underway to ensure that the concerns raised in the submission and during subsequent engagements between the </w:t>
            </w:r>
            <w:r w:rsidR="001C5327" w:rsidRPr="00666A2A">
              <w:rPr>
                <w:rFonts w:ascii="Arial" w:hAnsi="Arial" w:cs="Arial"/>
                <w:sz w:val="23"/>
                <w:szCs w:val="23"/>
              </w:rPr>
              <w:t>Reserve Bank</w:t>
            </w:r>
            <w:r w:rsidRPr="00666A2A">
              <w:rPr>
                <w:rFonts w:ascii="Arial" w:hAnsi="Arial" w:cs="Arial"/>
                <w:sz w:val="23"/>
                <w:szCs w:val="23"/>
              </w:rPr>
              <w:t xml:space="preserve">, the National Treasury and the industry bodies concerned are addressed adequately. </w:t>
            </w:r>
          </w:p>
        </w:tc>
      </w:tr>
      <w:tr w:rsidR="002F4B9B" w:rsidRPr="00666A2A" w14:paraId="2EAF8146" w14:textId="4900348D" w:rsidTr="006E3DFD">
        <w:tc>
          <w:tcPr>
            <w:tcW w:w="20407" w:type="dxa"/>
            <w:gridSpan w:val="3"/>
          </w:tcPr>
          <w:p w14:paraId="27ECD52C" w14:textId="3D20D3E1" w:rsidR="002F4B9B" w:rsidRPr="00666A2A" w:rsidRDefault="002F4B9B" w:rsidP="007B6847">
            <w:pPr>
              <w:spacing w:before="120" w:after="120" w:line="360" w:lineRule="auto"/>
              <w:jc w:val="center"/>
              <w:rPr>
                <w:rFonts w:ascii="Arial" w:hAnsi="Arial" w:cs="Arial"/>
                <w:b/>
                <w:bCs/>
                <w:sz w:val="23"/>
                <w:szCs w:val="23"/>
              </w:rPr>
            </w:pPr>
            <w:r w:rsidRPr="00666A2A">
              <w:rPr>
                <w:rFonts w:ascii="Arial" w:hAnsi="Arial" w:cs="Arial"/>
                <w:b/>
                <w:bCs/>
                <w:sz w:val="23"/>
                <w:szCs w:val="23"/>
              </w:rPr>
              <w:t>Safeguards provided for in the Act</w:t>
            </w:r>
          </w:p>
        </w:tc>
      </w:tr>
      <w:tr w:rsidR="00FF7CA2" w:rsidRPr="00666A2A" w14:paraId="3A8CA4DD" w14:textId="43BACB8E" w:rsidTr="00FF7CA2">
        <w:tc>
          <w:tcPr>
            <w:tcW w:w="1843" w:type="dxa"/>
          </w:tcPr>
          <w:p w14:paraId="604346BB" w14:textId="7244B87A" w:rsidR="00FF7CA2" w:rsidRPr="00666A2A" w:rsidRDefault="00FF7CA2" w:rsidP="00580B7B">
            <w:pPr>
              <w:spacing w:after="120" w:line="360" w:lineRule="auto"/>
              <w:rPr>
                <w:rFonts w:ascii="Arial" w:hAnsi="Arial" w:cs="Arial"/>
                <w:sz w:val="23"/>
                <w:szCs w:val="23"/>
              </w:rPr>
            </w:pPr>
            <w:r w:rsidRPr="00666A2A">
              <w:rPr>
                <w:rFonts w:ascii="Arial" w:hAnsi="Arial" w:cs="Arial"/>
                <w:sz w:val="23"/>
                <w:szCs w:val="23"/>
              </w:rPr>
              <w:t>ICMA and ISLA</w:t>
            </w:r>
          </w:p>
        </w:tc>
        <w:tc>
          <w:tcPr>
            <w:tcW w:w="9918" w:type="dxa"/>
          </w:tcPr>
          <w:p w14:paraId="34974357" w14:textId="00700AA2"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 xml:space="preserve">We are aware of the proposed mitigating sections of the FSRA. None of the mitigating sections give sufficient clarity, objectivity, </w:t>
            </w:r>
            <w:proofErr w:type="gramStart"/>
            <w:r w:rsidRPr="00666A2A">
              <w:rPr>
                <w:rFonts w:ascii="Arial" w:hAnsi="Arial" w:cs="Arial"/>
                <w:sz w:val="23"/>
                <w:szCs w:val="23"/>
              </w:rPr>
              <w:t>assurance</w:t>
            </w:r>
            <w:proofErr w:type="gramEnd"/>
            <w:r w:rsidRPr="00666A2A">
              <w:rPr>
                <w:rFonts w:ascii="Arial" w:hAnsi="Arial" w:cs="Arial"/>
                <w:sz w:val="23"/>
                <w:szCs w:val="23"/>
              </w:rPr>
              <w:t xml:space="preserve"> or certainty for obtaining clean netting opinions that are a regulatory requirement in order for counterparties to be able to utilise close-out netting in the calculation of their regulatory capital requirements.</w:t>
            </w:r>
          </w:p>
          <w:p w14:paraId="5A8D58A4" w14:textId="7B75986F" w:rsidR="00FF7CA2" w:rsidRPr="00666A2A" w:rsidRDefault="00FF7CA2" w:rsidP="007B6847">
            <w:pPr>
              <w:spacing w:after="120" w:line="360" w:lineRule="auto"/>
              <w:jc w:val="both"/>
              <w:rPr>
                <w:rFonts w:ascii="Arial" w:hAnsi="Arial" w:cs="Arial"/>
                <w:sz w:val="23"/>
                <w:szCs w:val="23"/>
              </w:rPr>
            </w:pPr>
            <w:proofErr w:type="gramStart"/>
            <w:r w:rsidRPr="00666A2A">
              <w:rPr>
                <w:rFonts w:ascii="Arial" w:hAnsi="Arial" w:cs="Arial"/>
                <w:sz w:val="23"/>
                <w:szCs w:val="23"/>
              </w:rPr>
              <w:t xml:space="preserve">Securities </w:t>
            </w:r>
            <w:r w:rsidR="00AE1145">
              <w:rPr>
                <w:rFonts w:ascii="Arial" w:hAnsi="Arial" w:cs="Arial"/>
                <w:sz w:val="23"/>
                <w:szCs w:val="23"/>
              </w:rPr>
              <w:t>l</w:t>
            </w:r>
            <w:r w:rsidRPr="00666A2A">
              <w:rPr>
                <w:rFonts w:ascii="Arial" w:hAnsi="Arial" w:cs="Arial"/>
                <w:sz w:val="23"/>
                <w:szCs w:val="23"/>
              </w:rPr>
              <w:t xml:space="preserve">ending </w:t>
            </w:r>
            <w:r w:rsidR="00AE1145">
              <w:rPr>
                <w:rFonts w:ascii="Arial" w:hAnsi="Arial" w:cs="Arial"/>
                <w:sz w:val="23"/>
                <w:szCs w:val="23"/>
              </w:rPr>
              <w:t>t</w:t>
            </w:r>
            <w:r w:rsidR="00B35EBC">
              <w:rPr>
                <w:rFonts w:ascii="Arial" w:hAnsi="Arial" w:cs="Arial"/>
                <w:sz w:val="23"/>
                <w:szCs w:val="23"/>
              </w:rPr>
              <w:t xml:space="preserve">ransactions </w:t>
            </w:r>
            <w:r w:rsidRPr="00666A2A">
              <w:rPr>
                <w:rFonts w:ascii="Arial" w:hAnsi="Arial" w:cs="Arial"/>
                <w:sz w:val="23"/>
                <w:szCs w:val="23"/>
              </w:rPr>
              <w:t xml:space="preserve">and </w:t>
            </w:r>
            <w:r w:rsidR="003F24A1">
              <w:rPr>
                <w:rFonts w:ascii="Arial" w:hAnsi="Arial" w:cs="Arial"/>
                <w:sz w:val="23"/>
                <w:szCs w:val="23"/>
              </w:rPr>
              <w:t>R</w:t>
            </w:r>
            <w:r w:rsidRPr="00666A2A">
              <w:rPr>
                <w:rFonts w:ascii="Arial" w:hAnsi="Arial" w:cs="Arial"/>
                <w:sz w:val="23"/>
                <w:szCs w:val="23"/>
              </w:rPr>
              <w:t>epo</w:t>
            </w:r>
            <w:r w:rsidR="00AE1145">
              <w:rPr>
                <w:rFonts w:ascii="Arial" w:hAnsi="Arial" w:cs="Arial"/>
                <w:sz w:val="23"/>
                <w:szCs w:val="23"/>
              </w:rPr>
              <w:t xml:space="preserve"> transactions</w:t>
            </w:r>
            <w:r w:rsidRPr="00666A2A">
              <w:rPr>
                <w:rFonts w:ascii="Arial" w:hAnsi="Arial" w:cs="Arial"/>
                <w:sz w:val="23"/>
                <w:szCs w:val="23"/>
              </w:rPr>
              <w:t>,</w:t>
            </w:r>
            <w:proofErr w:type="gramEnd"/>
            <w:r w:rsidRPr="00666A2A">
              <w:rPr>
                <w:rFonts w:ascii="Arial" w:hAnsi="Arial" w:cs="Arial"/>
                <w:sz w:val="23"/>
                <w:szCs w:val="23"/>
              </w:rPr>
              <w:t xml:space="preserve"> can be documented under an ISDA. In fact, ISDA has recently published SFTR definitions, and the ISDA netting opinion includes securities lending and repo transactions. It is unclear why securities lending </w:t>
            </w:r>
            <w:r w:rsidR="00AE1145">
              <w:rPr>
                <w:rFonts w:ascii="Arial" w:hAnsi="Arial" w:cs="Arial"/>
                <w:sz w:val="23"/>
                <w:szCs w:val="23"/>
              </w:rPr>
              <w:t xml:space="preserve">transactions </w:t>
            </w:r>
            <w:r w:rsidRPr="00666A2A">
              <w:rPr>
                <w:rFonts w:ascii="Arial" w:hAnsi="Arial" w:cs="Arial"/>
                <w:sz w:val="23"/>
                <w:szCs w:val="23"/>
              </w:rPr>
              <w:t>and repo transactions would be excluded from the scope of S166</w:t>
            </w:r>
            <w:proofErr w:type="gramStart"/>
            <w:r w:rsidRPr="00666A2A">
              <w:rPr>
                <w:rFonts w:ascii="Arial" w:hAnsi="Arial" w:cs="Arial"/>
                <w:sz w:val="23"/>
                <w:szCs w:val="23"/>
              </w:rPr>
              <w:t>S(</w:t>
            </w:r>
            <w:proofErr w:type="gramEnd"/>
            <w:r w:rsidRPr="00666A2A">
              <w:rPr>
                <w:rFonts w:ascii="Arial" w:hAnsi="Arial" w:cs="Arial"/>
                <w:sz w:val="23"/>
                <w:szCs w:val="23"/>
              </w:rPr>
              <w:t xml:space="preserve">7) if documented under an ISDA, but not if they are documented under a GMSLA/GMRA, the documents most widely used globally for securities lending </w:t>
            </w:r>
            <w:r w:rsidR="00AE1145">
              <w:rPr>
                <w:rFonts w:ascii="Arial" w:hAnsi="Arial" w:cs="Arial"/>
                <w:sz w:val="23"/>
                <w:szCs w:val="23"/>
              </w:rPr>
              <w:t xml:space="preserve">transactions </w:t>
            </w:r>
            <w:r w:rsidRPr="00666A2A">
              <w:rPr>
                <w:rFonts w:ascii="Arial" w:hAnsi="Arial" w:cs="Arial"/>
                <w:sz w:val="23"/>
                <w:szCs w:val="23"/>
              </w:rPr>
              <w:t xml:space="preserve">and </w:t>
            </w:r>
            <w:r w:rsidR="00AE1145">
              <w:rPr>
                <w:rFonts w:ascii="Arial" w:hAnsi="Arial" w:cs="Arial"/>
                <w:sz w:val="23"/>
                <w:szCs w:val="23"/>
              </w:rPr>
              <w:t>R</w:t>
            </w:r>
            <w:r w:rsidRPr="00666A2A">
              <w:rPr>
                <w:rFonts w:ascii="Arial" w:hAnsi="Arial" w:cs="Arial"/>
                <w:sz w:val="23"/>
                <w:szCs w:val="23"/>
              </w:rPr>
              <w:t>epo transactions.</w:t>
            </w:r>
          </w:p>
          <w:p w14:paraId="324E40B4" w14:textId="4B298C11"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lastRenderedPageBreak/>
              <w:t>We understand that a view has been expressed that securities lending</w:t>
            </w:r>
            <w:r w:rsidR="00AE1145">
              <w:rPr>
                <w:rFonts w:ascii="Arial" w:hAnsi="Arial" w:cs="Arial"/>
                <w:sz w:val="23"/>
                <w:szCs w:val="23"/>
              </w:rPr>
              <w:t xml:space="preserve"> transactions</w:t>
            </w:r>
            <w:r w:rsidRPr="00666A2A">
              <w:rPr>
                <w:rFonts w:ascii="Arial" w:hAnsi="Arial" w:cs="Arial"/>
                <w:sz w:val="23"/>
                <w:szCs w:val="23"/>
              </w:rPr>
              <w:t xml:space="preserve"> and repo transactions may be sufficiently protected under Sections 166U, 166V and 166W of the FSRA. We note that: </w:t>
            </w:r>
          </w:p>
          <w:p w14:paraId="639AB013" w14:textId="5015CDBE" w:rsidR="00FF7CA2" w:rsidRPr="00666A2A" w:rsidRDefault="00FF7CA2" w:rsidP="007B6847">
            <w:pPr>
              <w:pStyle w:val="ListParagraph"/>
              <w:numPr>
                <w:ilvl w:val="0"/>
                <w:numId w:val="12"/>
              </w:numPr>
              <w:spacing w:after="120" w:line="360" w:lineRule="auto"/>
              <w:jc w:val="both"/>
              <w:rPr>
                <w:rFonts w:ascii="Arial" w:hAnsi="Arial" w:cs="Arial"/>
                <w:sz w:val="23"/>
                <w:szCs w:val="23"/>
              </w:rPr>
            </w:pPr>
            <w:r w:rsidRPr="00666A2A">
              <w:rPr>
                <w:rFonts w:ascii="Arial" w:hAnsi="Arial" w:cs="Arial"/>
                <w:sz w:val="23"/>
                <w:szCs w:val="23"/>
              </w:rPr>
              <w:t xml:space="preserve">there is significant uncertainty in relation to this point of view and that </w:t>
            </w:r>
            <w:proofErr w:type="gramStart"/>
            <w:r w:rsidRPr="00666A2A">
              <w:rPr>
                <w:rFonts w:ascii="Arial" w:hAnsi="Arial" w:cs="Arial"/>
                <w:sz w:val="23"/>
                <w:szCs w:val="23"/>
              </w:rPr>
              <w:t xml:space="preserve">a number </w:t>
            </w:r>
            <w:r w:rsidR="000B3108">
              <w:rPr>
                <w:rFonts w:ascii="Arial" w:hAnsi="Arial" w:cs="Arial"/>
                <w:sz w:val="23"/>
                <w:szCs w:val="23"/>
              </w:rPr>
              <w:t>of</w:t>
            </w:r>
            <w:proofErr w:type="gramEnd"/>
            <w:r w:rsidR="000B3108">
              <w:rPr>
                <w:rFonts w:ascii="Arial" w:hAnsi="Arial" w:cs="Arial"/>
                <w:sz w:val="23"/>
                <w:szCs w:val="23"/>
              </w:rPr>
              <w:t xml:space="preserve"> </w:t>
            </w:r>
            <w:r w:rsidRPr="00666A2A">
              <w:rPr>
                <w:rFonts w:ascii="Arial" w:hAnsi="Arial" w:cs="Arial"/>
                <w:sz w:val="23"/>
                <w:szCs w:val="23"/>
              </w:rPr>
              <w:t>market participants are of the view that these sections do not give adequate certainty in the case of securities landing and repo transactions</w:t>
            </w:r>
            <w:r w:rsidR="00806603">
              <w:rPr>
                <w:rFonts w:ascii="Arial" w:hAnsi="Arial" w:cs="Arial"/>
                <w:sz w:val="23"/>
                <w:szCs w:val="23"/>
              </w:rPr>
              <w:t>.</w:t>
            </w:r>
            <w:r w:rsidRPr="00666A2A">
              <w:rPr>
                <w:rFonts w:ascii="Arial" w:hAnsi="Arial" w:cs="Arial"/>
                <w:sz w:val="23"/>
                <w:szCs w:val="23"/>
              </w:rPr>
              <w:t xml:space="preserve"> </w:t>
            </w:r>
          </w:p>
          <w:p w14:paraId="7D28CA98" w14:textId="6B4F44B8" w:rsidR="00FF7CA2" w:rsidRPr="00666A2A" w:rsidRDefault="00FF7CA2" w:rsidP="007B6847">
            <w:pPr>
              <w:pStyle w:val="ListParagraph"/>
              <w:numPr>
                <w:ilvl w:val="0"/>
                <w:numId w:val="12"/>
              </w:numPr>
              <w:spacing w:after="120" w:line="360" w:lineRule="auto"/>
              <w:jc w:val="both"/>
              <w:rPr>
                <w:rFonts w:ascii="Arial" w:hAnsi="Arial" w:cs="Arial"/>
                <w:sz w:val="23"/>
                <w:szCs w:val="23"/>
              </w:rPr>
            </w:pPr>
            <w:r w:rsidRPr="00666A2A">
              <w:rPr>
                <w:rFonts w:ascii="Arial" w:hAnsi="Arial" w:cs="Arial"/>
                <w:sz w:val="23"/>
                <w:szCs w:val="23"/>
              </w:rPr>
              <w:t xml:space="preserve">there is a suggestion that further subordinate legislation and prudential standards may be published in an attempt to clarify the treatment of securities lending </w:t>
            </w:r>
            <w:r w:rsidR="000B3108">
              <w:rPr>
                <w:rFonts w:ascii="Arial" w:hAnsi="Arial" w:cs="Arial"/>
                <w:sz w:val="23"/>
                <w:szCs w:val="23"/>
              </w:rPr>
              <w:t xml:space="preserve">transactions </w:t>
            </w:r>
            <w:r w:rsidRPr="00666A2A">
              <w:rPr>
                <w:rFonts w:ascii="Arial" w:hAnsi="Arial" w:cs="Arial"/>
                <w:sz w:val="23"/>
                <w:szCs w:val="23"/>
              </w:rPr>
              <w:t>and repo transactions, but we are aware of the fact that there is concern in the market that subordinate legislation cannot extend beyond the scope of the enabling legislation (here the FSRA) and that the ability to effect any necessary changes through subordinate legislation is likely to be limited.</w:t>
            </w:r>
          </w:p>
          <w:p w14:paraId="63201C94" w14:textId="22AC4548"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 xml:space="preserve">S166U of the FSLA Act ensures, inter alia, that the value of creditors' claims </w:t>
            </w:r>
            <w:proofErr w:type="gramStart"/>
            <w:r w:rsidRPr="00666A2A">
              <w:rPr>
                <w:rFonts w:ascii="Arial" w:hAnsi="Arial" w:cs="Arial"/>
                <w:sz w:val="23"/>
                <w:szCs w:val="23"/>
              </w:rPr>
              <w:t>are</w:t>
            </w:r>
            <w:proofErr w:type="gramEnd"/>
            <w:r w:rsidRPr="00666A2A">
              <w:rPr>
                <w:rFonts w:ascii="Arial" w:hAnsi="Arial" w:cs="Arial"/>
                <w:sz w:val="23"/>
                <w:szCs w:val="23"/>
              </w:rPr>
              <w:t xml:space="preserve"> not reduced by resolution action. It is unclear what the value is of a GMSLA or GMRA </w:t>
            </w:r>
            <w:r w:rsidR="00694205">
              <w:rPr>
                <w:rFonts w:ascii="Arial" w:hAnsi="Arial" w:cs="Arial"/>
                <w:sz w:val="23"/>
                <w:szCs w:val="23"/>
              </w:rPr>
              <w:t>t</w:t>
            </w:r>
            <w:r w:rsidRPr="00666A2A">
              <w:rPr>
                <w:rFonts w:ascii="Arial" w:hAnsi="Arial" w:cs="Arial"/>
                <w:sz w:val="23"/>
                <w:szCs w:val="23"/>
              </w:rPr>
              <w:t xml:space="preserve">ransaction counterparty's claim, when such counterparties are dependent on close-out netting rather than making claims in insolvent estates. In addition, this section operates in the Reserve Bank's subjective </w:t>
            </w:r>
            <w:proofErr w:type="gramStart"/>
            <w:r w:rsidRPr="00666A2A">
              <w:rPr>
                <w:rFonts w:ascii="Arial" w:hAnsi="Arial" w:cs="Arial"/>
                <w:sz w:val="23"/>
                <w:szCs w:val="23"/>
              </w:rPr>
              <w:t>discretion</w:t>
            </w:r>
            <w:proofErr w:type="gramEnd"/>
            <w:r w:rsidRPr="00666A2A">
              <w:rPr>
                <w:rFonts w:ascii="Arial" w:hAnsi="Arial" w:cs="Arial"/>
                <w:sz w:val="23"/>
                <w:szCs w:val="23"/>
              </w:rPr>
              <w:t xml:space="preserve"> and this introduces uncertainty as to whether or not S166U will apply. In addition, there does not appear to be any remedy for a counterparty that disagrees with the Reserve Bank's determination.</w:t>
            </w:r>
          </w:p>
          <w:p w14:paraId="18843F11" w14:textId="45EAA4A9"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S166</w:t>
            </w:r>
            <w:proofErr w:type="gramStart"/>
            <w:r w:rsidRPr="00666A2A">
              <w:rPr>
                <w:rFonts w:ascii="Arial" w:hAnsi="Arial" w:cs="Arial"/>
                <w:sz w:val="23"/>
                <w:szCs w:val="23"/>
              </w:rPr>
              <w:t>W(</w:t>
            </w:r>
            <w:proofErr w:type="gramEnd"/>
            <w:r w:rsidRPr="00666A2A">
              <w:rPr>
                <w:rFonts w:ascii="Arial" w:hAnsi="Arial" w:cs="Arial"/>
                <w:sz w:val="23"/>
                <w:szCs w:val="23"/>
              </w:rPr>
              <w:t>1) is prefaced by the phrase: “Subject to the provisions of this Act...”. From a legal perspective, this wording creates doubt as it seems to suggest that the FSRA provisions in S166</w:t>
            </w:r>
            <w:proofErr w:type="gramStart"/>
            <w:r w:rsidRPr="00666A2A">
              <w:rPr>
                <w:rFonts w:ascii="Arial" w:hAnsi="Arial" w:cs="Arial"/>
                <w:sz w:val="23"/>
                <w:szCs w:val="23"/>
              </w:rPr>
              <w:t>W(</w:t>
            </w:r>
            <w:proofErr w:type="gramEnd"/>
            <w:r w:rsidRPr="00666A2A">
              <w:rPr>
                <w:rFonts w:ascii="Arial" w:hAnsi="Arial" w:cs="Arial"/>
                <w:sz w:val="23"/>
                <w:szCs w:val="23"/>
              </w:rPr>
              <w:t>1) will override the Insolvency Act (which would negate any utility of S166W(1))</w:t>
            </w:r>
            <w:r w:rsidR="00694205">
              <w:rPr>
                <w:rFonts w:ascii="Arial" w:hAnsi="Arial" w:cs="Arial"/>
                <w:sz w:val="23"/>
                <w:szCs w:val="23"/>
              </w:rPr>
              <w:t>.</w:t>
            </w:r>
          </w:p>
          <w:p w14:paraId="501D215B" w14:textId="2007BFED"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 xml:space="preserve">S166U and S166V both include language that suggests that the ostensible protections in these sections are subject to a subjective assessment by the Reserve Bank: “that in the Reserve Bank’s view” and “if it appears to the reserve Bank” and the Reserve Bank must “determine the </w:t>
            </w:r>
            <w:r w:rsidRPr="00666A2A">
              <w:rPr>
                <w:rFonts w:ascii="Arial" w:hAnsi="Arial" w:cs="Arial"/>
                <w:sz w:val="23"/>
                <w:szCs w:val="23"/>
              </w:rPr>
              <w:lastRenderedPageBreak/>
              <w:t xml:space="preserve">amount of the shortfall” – these subjective assessments introduce uncertainty as to </w:t>
            </w:r>
            <w:proofErr w:type="gramStart"/>
            <w:r w:rsidRPr="00666A2A">
              <w:rPr>
                <w:rFonts w:ascii="Arial" w:hAnsi="Arial" w:cs="Arial"/>
                <w:sz w:val="23"/>
                <w:szCs w:val="23"/>
              </w:rPr>
              <w:t>whether or not</w:t>
            </w:r>
            <w:proofErr w:type="gramEnd"/>
            <w:r w:rsidRPr="00666A2A">
              <w:rPr>
                <w:rFonts w:ascii="Arial" w:hAnsi="Arial" w:cs="Arial"/>
                <w:sz w:val="23"/>
                <w:szCs w:val="23"/>
              </w:rPr>
              <w:t xml:space="preserve"> the ostensible protections contained in these sections are in fact available</w:t>
            </w:r>
            <w:r w:rsidR="00694205">
              <w:rPr>
                <w:rFonts w:ascii="Arial" w:hAnsi="Arial" w:cs="Arial"/>
                <w:sz w:val="23"/>
                <w:szCs w:val="23"/>
              </w:rPr>
              <w:t>.</w:t>
            </w:r>
            <w:r w:rsidRPr="00666A2A">
              <w:rPr>
                <w:rFonts w:ascii="Arial" w:hAnsi="Arial" w:cs="Arial"/>
                <w:sz w:val="23"/>
                <w:szCs w:val="23"/>
              </w:rPr>
              <w:t xml:space="preserve"> </w:t>
            </w:r>
          </w:p>
          <w:p w14:paraId="0FFD6408" w14:textId="0E4059D1"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If any resolution action taken in fact violates S166U to W, the remedies available to an affected counterparty are subject to an administrative process (which introduces timing risk to the market) and may leave the affected counterparty with an unsecured concurrent claim for compensation against the already distressed DI (which introduces the risk of not being settled in full).</w:t>
            </w:r>
          </w:p>
        </w:tc>
        <w:tc>
          <w:tcPr>
            <w:tcW w:w="8646" w:type="dxa"/>
          </w:tcPr>
          <w:p w14:paraId="701FE6DE" w14:textId="07C9E049" w:rsidR="00FF7CA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lastRenderedPageBreak/>
              <w:t xml:space="preserve">The comment is noted. Efforts are underway to ensure that the concerns raised in the submission and during subsequent engagements between the </w:t>
            </w:r>
            <w:r w:rsidR="001C5327" w:rsidRPr="00666A2A">
              <w:rPr>
                <w:rFonts w:ascii="Arial" w:hAnsi="Arial" w:cs="Arial"/>
                <w:sz w:val="23"/>
                <w:szCs w:val="23"/>
              </w:rPr>
              <w:t>Reserve Bank</w:t>
            </w:r>
            <w:r w:rsidRPr="00666A2A">
              <w:rPr>
                <w:rFonts w:ascii="Arial" w:hAnsi="Arial" w:cs="Arial"/>
                <w:sz w:val="23"/>
                <w:szCs w:val="23"/>
              </w:rPr>
              <w:t>, the National Treasury and the industry bodies concerned are addressed adequately.</w:t>
            </w:r>
          </w:p>
        </w:tc>
      </w:tr>
      <w:tr w:rsidR="00FF7CA2" w:rsidRPr="00666A2A" w14:paraId="02EA26AF" w14:textId="12E8BC27" w:rsidTr="00FF7CA2">
        <w:tc>
          <w:tcPr>
            <w:tcW w:w="1843" w:type="dxa"/>
          </w:tcPr>
          <w:p w14:paraId="74C553EF" w14:textId="5010E66A" w:rsidR="00FF7CA2" w:rsidRPr="00666A2A" w:rsidRDefault="00FF7CA2" w:rsidP="00580B7B">
            <w:pPr>
              <w:spacing w:after="120" w:line="360" w:lineRule="auto"/>
              <w:rPr>
                <w:rFonts w:ascii="Arial" w:hAnsi="Arial" w:cs="Arial"/>
                <w:sz w:val="23"/>
                <w:szCs w:val="23"/>
              </w:rPr>
            </w:pPr>
            <w:r w:rsidRPr="00666A2A">
              <w:rPr>
                <w:rFonts w:ascii="Arial" w:hAnsi="Arial" w:cs="Arial"/>
                <w:sz w:val="23"/>
                <w:szCs w:val="23"/>
              </w:rPr>
              <w:lastRenderedPageBreak/>
              <w:t>ISDA</w:t>
            </w:r>
          </w:p>
        </w:tc>
        <w:tc>
          <w:tcPr>
            <w:tcW w:w="9918" w:type="dxa"/>
          </w:tcPr>
          <w:p w14:paraId="1BFC0CD0" w14:textId="04457D37"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 xml:space="preserve">During our meeting on 23 November 2021 and subsequent calls, we were advised that creditors under securities lending </w:t>
            </w:r>
            <w:r w:rsidR="00682021">
              <w:rPr>
                <w:rFonts w:ascii="Arial" w:hAnsi="Arial" w:cs="Arial"/>
                <w:sz w:val="23"/>
                <w:szCs w:val="23"/>
              </w:rPr>
              <w:t xml:space="preserve">transactions </w:t>
            </w:r>
            <w:r w:rsidRPr="00666A2A">
              <w:rPr>
                <w:rFonts w:ascii="Arial" w:hAnsi="Arial" w:cs="Arial"/>
                <w:sz w:val="23"/>
                <w:szCs w:val="23"/>
              </w:rPr>
              <w:t xml:space="preserve">and repo transactions would not be carved-out of the SARB’s bail-in powers in the same manner as “derivative instruments” (see section 166S(9)(b) of the FSRA) because counterparties must rather rely on the risk </w:t>
            </w:r>
            <w:proofErr w:type="gramStart"/>
            <w:r w:rsidRPr="00666A2A">
              <w:rPr>
                <w:rFonts w:ascii="Arial" w:hAnsi="Arial" w:cs="Arial"/>
                <w:sz w:val="23"/>
                <w:szCs w:val="23"/>
              </w:rPr>
              <w:t>mitigants</w:t>
            </w:r>
            <w:proofErr w:type="gramEnd"/>
            <w:r w:rsidRPr="00666A2A">
              <w:rPr>
                <w:rFonts w:ascii="Arial" w:hAnsi="Arial" w:cs="Arial"/>
                <w:sz w:val="23"/>
                <w:szCs w:val="23"/>
              </w:rPr>
              <w:t xml:space="preserve"> and purported safeguards set out in sections 166U and 166V of the FSRA. These sections do not provide the safeguards which were intended by the legislature.</w:t>
            </w:r>
          </w:p>
          <w:p w14:paraId="010D26F6" w14:textId="3A909C35"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Section 166</w:t>
            </w:r>
            <w:proofErr w:type="gramStart"/>
            <w:r w:rsidRPr="00666A2A">
              <w:rPr>
                <w:rFonts w:ascii="Arial" w:hAnsi="Arial" w:cs="Arial"/>
                <w:sz w:val="23"/>
                <w:szCs w:val="23"/>
              </w:rPr>
              <w:t>U(</w:t>
            </w:r>
            <w:proofErr w:type="gramEnd"/>
            <w:r w:rsidRPr="00666A2A">
              <w:rPr>
                <w:rFonts w:ascii="Arial" w:hAnsi="Arial" w:cs="Arial"/>
                <w:sz w:val="23"/>
                <w:szCs w:val="23"/>
              </w:rPr>
              <w:t xml:space="preserve">1)  - The key principle of section 166U(1) of the FSRA is that resolution action must not be taken “if it appears to the Reserve Bank” that the action would result in a creditor’s claim being reduced. This provision does not provide legal certainty because the SARB has the sole discretion to determine </w:t>
            </w:r>
            <w:proofErr w:type="gramStart"/>
            <w:r w:rsidRPr="00666A2A">
              <w:rPr>
                <w:rFonts w:ascii="Arial" w:hAnsi="Arial" w:cs="Arial"/>
                <w:sz w:val="23"/>
                <w:szCs w:val="23"/>
              </w:rPr>
              <w:t>whether or not</w:t>
            </w:r>
            <w:proofErr w:type="gramEnd"/>
            <w:r w:rsidRPr="00666A2A">
              <w:rPr>
                <w:rFonts w:ascii="Arial" w:hAnsi="Arial" w:cs="Arial"/>
                <w:sz w:val="23"/>
                <w:szCs w:val="23"/>
              </w:rPr>
              <w:t xml:space="preserve"> a claim would be reduced.</w:t>
            </w:r>
          </w:p>
          <w:p w14:paraId="398D9A8A" w14:textId="2AA6AD20"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Section 166</w:t>
            </w:r>
            <w:proofErr w:type="gramStart"/>
            <w:r w:rsidRPr="00666A2A">
              <w:rPr>
                <w:rFonts w:ascii="Arial" w:hAnsi="Arial" w:cs="Arial"/>
                <w:sz w:val="23"/>
                <w:szCs w:val="23"/>
              </w:rPr>
              <w:t>U(</w:t>
            </w:r>
            <w:proofErr w:type="gramEnd"/>
            <w:r w:rsidRPr="00666A2A">
              <w:rPr>
                <w:rFonts w:ascii="Arial" w:hAnsi="Arial" w:cs="Arial"/>
                <w:sz w:val="23"/>
                <w:szCs w:val="23"/>
              </w:rPr>
              <w:t xml:space="preserve">4) – the section attempts to provide a further safeguard by requiring that when resolution actions are taken, claims that would have the same ranking in insolvency must be treated equally. This safeguard does not mitigate risks as it will not apply if the SARB determines that it is necessary to treat the claims differently. This provision does not provide legal certainty because the SARB has the sole discretion to determine </w:t>
            </w:r>
            <w:proofErr w:type="gramStart"/>
            <w:r w:rsidRPr="00666A2A">
              <w:rPr>
                <w:rFonts w:ascii="Arial" w:hAnsi="Arial" w:cs="Arial"/>
                <w:sz w:val="23"/>
                <w:szCs w:val="23"/>
              </w:rPr>
              <w:t>whether or not</w:t>
            </w:r>
            <w:proofErr w:type="gramEnd"/>
            <w:r w:rsidRPr="00666A2A">
              <w:rPr>
                <w:rFonts w:ascii="Arial" w:hAnsi="Arial" w:cs="Arial"/>
                <w:sz w:val="23"/>
                <w:szCs w:val="23"/>
              </w:rPr>
              <w:t xml:space="preserve"> claims that have the same ranking in insolvency must be treated differently or equally.</w:t>
            </w:r>
          </w:p>
          <w:p w14:paraId="5131FC86" w14:textId="61271648"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Section 166V - The key principle of section 166</w:t>
            </w:r>
            <w:proofErr w:type="gramStart"/>
            <w:r w:rsidRPr="00666A2A">
              <w:rPr>
                <w:rFonts w:ascii="Arial" w:hAnsi="Arial" w:cs="Arial"/>
                <w:sz w:val="23"/>
                <w:szCs w:val="23"/>
              </w:rPr>
              <w:t>V(</w:t>
            </w:r>
            <w:proofErr w:type="gramEnd"/>
            <w:r w:rsidRPr="00666A2A">
              <w:rPr>
                <w:rFonts w:ascii="Arial" w:hAnsi="Arial" w:cs="Arial"/>
                <w:sz w:val="23"/>
                <w:szCs w:val="23"/>
              </w:rPr>
              <w:t xml:space="preserve">1) of the FSRA is that resolution action must not be taken if a creditor would receive less than what that creditor would have received had the DI been wound up.  However, if a resolution is nonetheless taken and the SARB determines that the creditor has indeed received less than what it would have received had the DI been wound </w:t>
            </w:r>
            <w:r w:rsidRPr="00666A2A">
              <w:rPr>
                <w:rFonts w:ascii="Arial" w:hAnsi="Arial" w:cs="Arial"/>
                <w:sz w:val="23"/>
                <w:szCs w:val="23"/>
              </w:rPr>
              <w:lastRenderedPageBreak/>
              <w:t>up, then the SARB must “determine the amount of the shortfall.”. This introduces risk as the SARB has a discretion in these circumstances. Of more concern is that if a shortfall indeed results, the creditor who has suffered the loss merely has a claim against the (already distressed) DI in resolution.</w:t>
            </w:r>
          </w:p>
        </w:tc>
        <w:tc>
          <w:tcPr>
            <w:tcW w:w="8646" w:type="dxa"/>
          </w:tcPr>
          <w:p w14:paraId="0586CE0F" w14:textId="4DDB900E" w:rsidR="00FF7CA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lastRenderedPageBreak/>
              <w:t xml:space="preserve">The comment is noted. Efforts are underway to ensure that the concerns raised in the submission and during subsequent engagements between the </w:t>
            </w:r>
            <w:r w:rsidR="006C3A8C" w:rsidRPr="00666A2A">
              <w:rPr>
                <w:rFonts w:ascii="Arial" w:hAnsi="Arial" w:cs="Arial"/>
                <w:sz w:val="23"/>
                <w:szCs w:val="23"/>
              </w:rPr>
              <w:t>Reserve Bank</w:t>
            </w:r>
            <w:r w:rsidRPr="00666A2A">
              <w:rPr>
                <w:rFonts w:ascii="Arial" w:hAnsi="Arial" w:cs="Arial"/>
                <w:sz w:val="23"/>
                <w:szCs w:val="23"/>
              </w:rPr>
              <w:t>, the National Treasury and the industry bodies concerned are addressed adequately.</w:t>
            </w:r>
          </w:p>
        </w:tc>
      </w:tr>
      <w:tr w:rsidR="00FF7CA2" w:rsidRPr="00666A2A" w14:paraId="508C5CD8" w14:textId="1F9BB72B" w:rsidTr="00FF7CA2">
        <w:tc>
          <w:tcPr>
            <w:tcW w:w="1843" w:type="dxa"/>
          </w:tcPr>
          <w:p w14:paraId="424967C2" w14:textId="33645536" w:rsidR="00FF7CA2" w:rsidRPr="00666A2A" w:rsidRDefault="00FF7CA2" w:rsidP="00580B7B">
            <w:pPr>
              <w:spacing w:after="120" w:line="360" w:lineRule="auto"/>
              <w:rPr>
                <w:rFonts w:ascii="Arial" w:hAnsi="Arial" w:cs="Arial"/>
                <w:sz w:val="23"/>
                <w:szCs w:val="23"/>
              </w:rPr>
            </w:pPr>
            <w:r w:rsidRPr="00666A2A">
              <w:rPr>
                <w:rFonts w:ascii="Arial" w:hAnsi="Arial" w:cs="Arial"/>
                <w:sz w:val="23"/>
                <w:szCs w:val="23"/>
              </w:rPr>
              <w:t>SASLA</w:t>
            </w:r>
          </w:p>
        </w:tc>
        <w:tc>
          <w:tcPr>
            <w:tcW w:w="9918" w:type="dxa"/>
          </w:tcPr>
          <w:p w14:paraId="21629C6E" w14:textId="668863A4"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 xml:space="preserve">We are aware of the mitigating sections of the Act under the “creditor hierarchy and equality of claims” provisions (in section 166U), the “no creditor worse off rule” (in section 166V of the Act) and the preservation of the “ranking of creditors” (in section 166W of the Act), however, these mitigations should only apply to residual post-netting claims. None of the mitigating sections, </w:t>
            </w:r>
            <w:r w:rsidR="003E6156">
              <w:rPr>
                <w:rFonts w:ascii="Arial" w:hAnsi="Arial" w:cs="Arial"/>
                <w:sz w:val="23"/>
                <w:szCs w:val="23"/>
              </w:rPr>
              <w:t>(</w:t>
            </w:r>
            <w:proofErr w:type="gramStart"/>
            <w:r w:rsidRPr="00666A2A">
              <w:rPr>
                <w:rFonts w:ascii="Arial" w:hAnsi="Arial" w:cs="Arial"/>
                <w:sz w:val="23"/>
                <w:szCs w:val="23"/>
              </w:rPr>
              <w:t>i.e.</w:t>
            </w:r>
            <w:proofErr w:type="gramEnd"/>
            <w:r w:rsidRPr="00666A2A">
              <w:rPr>
                <w:rFonts w:ascii="Arial" w:hAnsi="Arial" w:cs="Arial"/>
                <w:sz w:val="23"/>
                <w:szCs w:val="23"/>
              </w:rPr>
              <w:t xml:space="preserve"> sections 166U, 166V and 166W</w:t>
            </w:r>
            <w:r w:rsidR="003E6156">
              <w:rPr>
                <w:rFonts w:ascii="Arial" w:hAnsi="Arial" w:cs="Arial"/>
                <w:sz w:val="23"/>
                <w:szCs w:val="23"/>
              </w:rPr>
              <w:t>)</w:t>
            </w:r>
            <w:r w:rsidRPr="00666A2A">
              <w:rPr>
                <w:rFonts w:ascii="Arial" w:hAnsi="Arial" w:cs="Arial"/>
                <w:sz w:val="23"/>
                <w:szCs w:val="23"/>
              </w:rPr>
              <w:t xml:space="preserve"> give sufficient clarity, protection or certainty for a clean netting opinion. </w:t>
            </w:r>
          </w:p>
          <w:p w14:paraId="57E7347D" w14:textId="77777777"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 xml:space="preserve">Section 166U of the Act ensures, inter alia, that the value of creditors' claims </w:t>
            </w:r>
            <w:proofErr w:type="gramStart"/>
            <w:r w:rsidRPr="00666A2A">
              <w:rPr>
                <w:rFonts w:ascii="Arial" w:hAnsi="Arial" w:cs="Arial"/>
                <w:sz w:val="23"/>
                <w:szCs w:val="23"/>
              </w:rPr>
              <w:t>are</w:t>
            </w:r>
            <w:proofErr w:type="gramEnd"/>
            <w:r w:rsidRPr="00666A2A">
              <w:rPr>
                <w:rFonts w:ascii="Arial" w:hAnsi="Arial" w:cs="Arial"/>
                <w:sz w:val="23"/>
                <w:szCs w:val="23"/>
              </w:rPr>
              <w:t xml:space="preserve"> not reduced by resolution action. It is unclear what the value is of a GMSLA or GMRA counterparty's claim, when such counterparties are dependent on clean close-out netting rather than making claims in insolvent estates. This section operates in the Reserve Bank's discretion, and there does not appear to be any remedy for a counterparty that disagrees with the Reserve Bank's determination. </w:t>
            </w:r>
          </w:p>
          <w:p w14:paraId="5BD593B3" w14:textId="6E31C03C"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 xml:space="preserve">Section 166V of the Act aims to ensure that no creditor receives less in resolution than the creditor would have received in a winding-up. Again, this section operates in the Reserve Bank's discretion, giving a counterparty that is "worse off" at best the potential for an unsecured claim against a financial institution that is already in uncertain financial circumstances. </w:t>
            </w:r>
          </w:p>
          <w:p w14:paraId="30D0DE26" w14:textId="0B824D4A"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Section 166W of the FSLA act provides that claims against a designated institution in resolution will rank in the order provided in the Insolvency Act. The close-out netting provisions GMSLAs and GMRAs are intended to ensure that, to the extent possible, after effecting close-out netting the counterparties do not have claims. If they do have residual claims after close-out netting, these are unsecured claims.</w:t>
            </w:r>
          </w:p>
          <w:p w14:paraId="151E5452" w14:textId="33E1F929"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lastRenderedPageBreak/>
              <w:t>The purported remedies of section 166U, 166V and 166W of the Act are not sufficiently objective or certain to ensure that legal counsel can issue clean netting opinions in respect of GMSLAs and GMRAs once the Resolution Framework becomes effective in South Africa and these remedies should only apply to post-netting claims.</w:t>
            </w:r>
          </w:p>
        </w:tc>
        <w:tc>
          <w:tcPr>
            <w:tcW w:w="8646" w:type="dxa"/>
          </w:tcPr>
          <w:p w14:paraId="33CEBC6C" w14:textId="2B0B8973" w:rsidR="00FF7CA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lastRenderedPageBreak/>
              <w:t xml:space="preserve">The comment is noted. Efforts are underway to ensure that the concerns raised in the submission and during subsequent engagements between the </w:t>
            </w:r>
            <w:r w:rsidR="006C3A8C" w:rsidRPr="00666A2A">
              <w:rPr>
                <w:rFonts w:ascii="Arial" w:hAnsi="Arial" w:cs="Arial"/>
                <w:sz w:val="23"/>
                <w:szCs w:val="23"/>
              </w:rPr>
              <w:t>Reserve Bank</w:t>
            </w:r>
            <w:r w:rsidRPr="00666A2A">
              <w:rPr>
                <w:rFonts w:ascii="Arial" w:hAnsi="Arial" w:cs="Arial"/>
                <w:sz w:val="23"/>
                <w:szCs w:val="23"/>
              </w:rPr>
              <w:t>, the National Treasury and the industry bodies concerned are addressed adequately.</w:t>
            </w:r>
          </w:p>
        </w:tc>
      </w:tr>
      <w:tr w:rsidR="002F4B9B" w:rsidRPr="00666A2A" w14:paraId="0633611E" w14:textId="1D1F3FDF" w:rsidTr="00A42E68">
        <w:tc>
          <w:tcPr>
            <w:tcW w:w="20407" w:type="dxa"/>
            <w:gridSpan w:val="3"/>
          </w:tcPr>
          <w:p w14:paraId="52E2102C" w14:textId="15521FC7" w:rsidR="002F4B9B" w:rsidRPr="00666A2A" w:rsidRDefault="002F4B9B" w:rsidP="007B6847">
            <w:pPr>
              <w:spacing w:before="120" w:after="120" w:line="360" w:lineRule="auto"/>
              <w:jc w:val="center"/>
              <w:rPr>
                <w:rFonts w:ascii="Arial" w:hAnsi="Arial" w:cs="Arial"/>
                <w:b/>
                <w:bCs/>
                <w:sz w:val="23"/>
                <w:szCs w:val="23"/>
              </w:rPr>
            </w:pPr>
            <w:r w:rsidRPr="00666A2A">
              <w:rPr>
                <w:rFonts w:ascii="Arial" w:hAnsi="Arial" w:cs="Arial"/>
                <w:b/>
                <w:bCs/>
                <w:sz w:val="23"/>
                <w:szCs w:val="23"/>
              </w:rPr>
              <w:t>International practice</w:t>
            </w:r>
          </w:p>
        </w:tc>
      </w:tr>
      <w:tr w:rsidR="00FF7CA2" w:rsidRPr="00666A2A" w14:paraId="4E806B21" w14:textId="459350BC" w:rsidTr="00FF7CA2">
        <w:tc>
          <w:tcPr>
            <w:tcW w:w="1843" w:type="dxa"/>
          </w:tcPr>
          <w:p w14:paraId="27398463" w14:textId="1FD53F56" w:rsidR="00FF7CA2" w:rsidRPr="00666A2A" w:rsidRDefault="00FF7CA2" w:rsidP="00580B7B">
            <w:pPr>
              <w:spacing w:after="120" w:line="360" w:lineRule="auto"/>
              <w:rPr>
                <w:rFonts w:ascii="Arial" w:hAnsi="Arial" w:cs="Arial"/>
                <w:b/>
                <w:bCs/>
                <w:sz w:val="23"/>
                <w:szCs w:val="23"/>
              </w:rPr>
            </w:pPr>
            <w:r w:rsidRPr="00666A2A">
              <w:rPr>
                <w:rFonts w:ascii="Arial" w:hAnsi="Arial" w:cs="Arial"/>
                <w:sz w:val="23"/>
                <w:szCs w:val="23"/>
              </w:rPr>
              <w:t>ICMA and ISLA</w:t>
            </w:r>
          </w:p>
        </w:tc>
        <w:tc>
          <w:tcPr>
            <w:tcW w:w="9918" w:type="dxa"/>
          </w:tcPr>
          <w:p w14:paraId="0307A737" w14:textId="77777777"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Although derivative instruments concluded under an ISDA Agreement (ISDA Transactions) are exempted from S166</w:t>
            </w:r>
            <w:proofErr w:type="gramStart"/>
            <w:r w:rsidRPr="00666A2A">
              <w:rPr>
                <w:rFonts w:ascii="Arial" w:hAnsi="Arial" w:cs="Arial"/>
                <w:sz w:val="23"/>
                <w:szCs w:val="23"/>
              </w:rPr>
              <w:t>S(</w:t>
            </w:r>
            <w:proofErr w:type="gramEnd"/>
            <w:r w:rsidRPr="00666A2A">
              <w:rPr>
                <w:rFonts w:ascii="Arial" w:hAnsi="Arial" w:cs="Arial"/>
                <w:sz w:val="23"/>
                <w:szCs w:val="23"/>
              </w:rPr>
              <w:t>7) of the FSRA, securities lending transactions concluded under a GMSLA (GMSLA Transactions) and sale and repurchase and reverse repurchase transactions (repos) concluded under a GMRA (GMRA Transactions) are not.</w:t>
            </w:r>
          </w:p>
          <w:p w14:paraId="6498A1B4" w14:textId="26B9E3D4" w:rsidR="00FF7CA2" w:rsidRPr="00666A2A" w:rsidRDefault="00FF7CA2" w:rsidP="007B6847">
            <w:pPr>
              <w:spacing w:after="120" w:line="360" w:lineRule="auto"/>
              <w:jc w:val="both"/>
              <w:rPr>
                <w:rFonts w:ascii="Arial" w:hAnsi="Arial" w:cs="Arial"/>
                <w:sz w:val="23"/>
                <w:szCs w:val="23"/>
              </w:rPr>
            </w:pPr>
            <w:r w:rsidRPr="00666A2A">
              <w:rPr>
                <w:rFonts w:ascii="Arial" w:hAnsi="Arial" w:cs="Arial"/>
                <w:sz w:val="23"/>
                <w:szCs w:val="23"/>
              </w:rPr>
              <w:t>This approach places South Africa out of step with the European EU Bank Resolution and Recovery Regime (BRRD) and United Kingdom (UK Banking Act, 2009 (UKBA) approach and international best practice in terms of which securities lending and repo transactions are treated in a similar manner to derivative transactions and are considered to be secured liabilities which are excluded from the ambit of the bail-in provisions of the resolution regimes, except in respect of residual claims arising after close-out netting.</w:t>
            </w:r>
          </w:p>
        </w:tc>
        <w:tc>
          <w:tcPr>
            <w:tcW w:w="8646" w:type="dxa"/>
          </w:tcPr>
          <w:p w14:paraId="3F8D1397" w14:textId="27B8087B" w:rsidR="00FF7CA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t xml:space="preserve">The comment is noted. The </w:t>
            </w:r>
            <w:r w:rsidR="00EB1822" w:rsidRPr="00666A2A">
              <w:rPr>
                <w:rFonts w:ascii="Arial" w:hAnsi="Arial" w:cs="Arial"/>
                <w:sz w:val="23"/>
                <w:szCs w:val="23"/>
              </w:rPr>
              <w:t>Authorit</w:t>
            </w:r>
            <w:r w:rsidR="00D02548" w:rsidRPr="00666A2A">
              <w:rPr>
                <w:rFonts w:ascii="Arial" w:hAnsi="Arial" w:cs="Arial"/>
                <w:sz w:val="23"/>
                <w:szCs w:val="23"/>
              </w:rPr>
              <w:t>ies</w:t>
            </w:r>
            <w:r w:rsidR="00EB1822" w:rsidRPr="00666A2A">
              <w:rPr>
                <w:rFonts w:ascii="Arial" w:hAnsi="Arial" w:cs="Arial"/>
                <w:sz w:val="23"/>
                <w:szCs w:val="23"/>
              </w:rPr>
              <w:t xml:space="preserve"> remain committed to implementation of a resolution framework that is in line with international standards and best practices. Efforts are underway to ensure that the concerns raised in the submission and during subsequent engagements between the </w:t>
            </w:r>
            <w:r w:rsidR="002E7CFC" w:rsidRPr="00666A2A">
              <w:rPr>
                <w:rFonts w:ascii="Arial" w:hAnsi="Arial" w:cs="Arial"/>
                <w:sz w:val="23"/>
                <w:szCs w:val="23"/>
              </w:rPr>
              <w:t>Reserve Bank</w:t>
            </w:r>
            <w:r w:rsidR="00EB1822" w:rsidRPr="00666A2A">
              <w:rPr>
                <w:rFonts w:ascii="Arial" w:hAnsi="Arial" w:cs="Arial"/>
                <w:sz w:val="23"/>
                <w:szCs w:val="23"/>
              </w:rPr>
              <w:t>, the National Treasury and the industry bodies concerned are addressed adequately.</w:t>
            </w:r>
          </w:p>
        </w:tc>
      </w:tr>
      <w:tr w:rsidR="00EB1822" w:rsidRPr="00666A2A" w14:paraId="4FCB9156" w14:textId="223552C9" w:rsidTr="00FF7CA2">
        <w:tc>
          <w:tcPr>
            <w:tcW w:w="1843" w:type="dxa"/>
          </w:tcPr>
          <w:p w14:paraId="5B9298F2" w14:textId="4A320B65" w:rsidR="00EB1822" w:rsidRPr="00666A2A" w:rsidRDefault="00EB1822" w:rsidP="00580B7B">
            <w:pPr>
              <w:spacing w:after="120" w:line="360" w:lineRule="auto"/>
              <w:rPr>
                <w:rFonts w:ascii="Arial" w:hAnsi="Arial" w:cs="Arial"/>
                <w:b/>
                <w:bCs/>
                <w:sz w:val="23"/>
                <w:szCs w:val="23"/>
              </w:rPr>
            </w:pPr>
            <w:r w:rsidRPr="00666A2A">
              <w:rPr>
                <w:rFonts w:ascii="Arial" w:hAnsi="Arial" w:cs="Arial"/>
                <w:sz w:val="23"/>
                <w:szCs w:val="23"/>
              </w:rPr>
              <w:t>ISDA</w:t>
            </w:r>
          </w:p>
        </w:tc>
        <w:tc>
          <w:tcPr>
            <w:tcW w:w="9918" w:type="dxa"/>
          </w:tcPr>
          <w:p w14:paraId="22025D8C" w14:textId="69389FD6" w:rsidR="00EB1822" w:rsidRPr="007D10E5" w:rsidRDefault="00EB1822" w:rsidP="007D10E5">
            <w:pPr>
              <w:spacing w:after="120" w:line="360" w:lineRule="auto"/>
              <w:jc w:val="both"/>
              <w:rPr>
                <w:rFonts w:ascii="Arial" w:hAnsi="Arial" w:cs="Arial"/>
                <w:sz w:val="23"/>
                <w:szCs w:val="23"/>
              </w:rPr>
            </w:pPr>
            <w:r w:rsidRPr="00666A2A">
              <w:rPr>
                <w:rFonts w:ascii="Arial" w:hAnsi="Arial" w:cs="Arial"/>
                <w:sz w:val="23"/>
                <w:szCs w:val="23"/>
              </w:rPr>
              <w:t>The current language of the FSRA exposes securities lending and repo transactions to the SARB’s powers (</w:t>
            </w:r>
            <w:proofErr w:type="spellStart"/>
            <w:r w:rsidRPr="00666A2A">
              <w:rPr>
                <w:rFonts w:ascii="Arial" w:hAnsi="Arial" w:cs="Arial"/>
                <w:sz w:val="23"/>
                <w:szCs w:val="23"/>
              </w:rPr>
              <w:t>i</w:t>
            </w:r>
            <w:proofErr w:type="spellEnd"/>
            <w:r w:rsidRPr="00666A2A">
              <w:rPr>
                <w:rFonts w:ascii="Arial" w:hAnsi="Arial" w:cs="Arial"/>
                <w:sz w:val="23"/>
                <w:szCs w:val="23"/>
              </w:rPr>
              <w:t>) to reduce amounts payable by the DI to its counterparty, and (ii) to cancel the agreement which documents the securities lending and repo transaction. This is a significant departure from the global principles (</w:t>
            </w:r>
            <w:proofErr w:type="gramStart"/>
            <w:r w:rsidRPr="00666A2A">
              <w:rPr>
                <w:rFonts w:ascii="Arial" w:hAnsi="Arial" w:cs="Arial"/>
                <w:sz w:val="23"/>
                <w:szCs w:val="23"/>
              </w:rPr>
              <w:t>in particular the</w:t>
            </w:r>
            <w:proofErr w:type="gramEnd"/>
            <w:r w:rsidRPr="00666A2A">
              <w:rPr>
                <w:rFonts w:ascii="Arial" w:hAnsi="Arial" w:cs="Arial"/>
                <w:sz w:val="23"/>
                <w:szCs w:val="23"/>
              </w:rPr>
              <w:t xml:space="preserve"> European Union Bank Resolution and Recovery Regime and the United Kingdom Banking Act, 2009 (as per the Key Attributes)).</w:t>
            </w:r>
          </w:p>
        </w:tc>
        <w:tc>
          <w:tcPr>
            <w:tcW w:w="8646" w:type="dxa"/>
          </w:tcPr>
          <w:p w14:paraId="72B5B512" w14:textId="2C12DF34" w:rsidR="00EB1822" w:rsidRPr="00666A2A" w:rsidRDefault="00EB1822" w:rsidP="007B6847">
            <w:pPr>
              <w:spacing w:after="120" w:line="360" w:lineRule="auto"/>
              <w:jc w:val="both"/>
              <w:rPr>
                <w:rFonts w:ascii="Arial" w:hAnsi="Arial" w:cs="Arial"/>
                <w:sz w:val="23"/>
                <w:szCs w:val="23"/>
              </w:rPr>
            </w:pPr>
            <w:r w:rsidRPr="00666A2A">
              <w:rPr>
                <w:rFonts w:ascii="Arial" w:hAnsi="Arial" w:cs="Arial"/>
                <w:sz w:val="23"/>
                <w:szCs w:val="23"/>
              </w:rPr>
              <w:t>The comment is noted. The Authorit</w:t>
            </w:r>
            <w:r w:rsidR="00D02548" w:rsidRPr="00666A2A">
              <w:rPr>
                <w:rFonts w:ascii="Arial" w:hAnsi="Arial" w:cs="Arial"/>
                <w:sz w:val="23"/>
                <w:szCs w:val="23"/>
              </w:rPr>
              <w:t>ies</w:t>
            </w:r>
            <w:r w:rsidRPr="00666A2A">
              <w:rPr>
                <w:rFonts w:ascii="Arial" w:hAnsi="Arial" w:cs="Arial"/>
                <w:sz w:val="23"/>
                <w:szCs w:val="23"/>
              </w:rPr>
              <w:t xml:space="preserve"> remain committed to implementation of a resolution framework that is in line with international standards and best practices. Efforts are underway to ensure that the concerns raised in the submission and during subsequent engagements between the </w:t>
            </w:r>
            <w:r w:rsidR="002E7CFC" w:rsidRPr="00666A2A">
              <w:rPr>
                <w:rFonts w:ascii="Arial" w:hAnsi="Arial" w:cs="Arial"/>
                <w:sz w:val="23"/>
                <w:szCs w:val="23"/>
              </w:rPr>
              <w:t>Reserve Bank</w:t>
            </w:r>
            <w:r w:rsidRPr="00666A2A">
              <w:rPr>
                <w:rFonts w:ascii="Arial" w:hAnsi="Arial" w:cs="Arial"/>
                <w:sz w:val="23"/>
                <w:szCs w:val="23"/>
              </w:rPr>
              <w:t>, the National Treasury and the industry bodies concerned are addressed adequately.</w:t>
            </w:r>
          </w:p>
        </w:tc>
      </w:tr>
      <w:tr w:rsidR="00EB1822" w:rsidRPr="00666A2A" w14:paraId="443842F3" w14:textId="3FF05B64" w:rsidTr="00FF7CA2">
        <w:tc>
          <w:tcPr>
            <w:tcW w:w="1843" w:type="dxa"/>
          </w:tcPr>
          <w:p w14:paraId="644B4575" w14:textId="7CEC0E09" w:rsidR="00EB1822" w:rsidRPr="00666A2A" w:rsidRDefault="00EB1822" w:rsidP="00580B7B">
            <w:pPr>
              <w:spacing w:after="120" w:line="360" w:lineRule="auto"/>
              <w:rPr>
                <w:rFonts w:ascii="Arial" w:hAnsi="Arial" w:cs="Arial"/>
                <w:b/>
                <w:bCs/>
                <w:sz w:val="23"/>
                <w:szCs w:val="23"/>
              </w:rPr>
            </w:pPr>
            <w:r w:rsidRPr="00666A2A">
              <w:rPr>
                <w:rFonts w:ascii="Arial" w:hAnsi="Arial" w:cs="Arial"/>
                <w:sz w:val="23"/>
                <w:szCs w:val="23"/>
              </w:rPr>
              <w:t>SASLA</w:t>
            </w:r>
          </w:p>
        </w:tc>
        <w:tc>
          <w:tcPr>
            <w:tcW w:w="9918" w:type="dxa"/>
          </w:tcPr>
          <w:p w14:paraId="36B476A4" w14:textId="061BF213" w:rsidR="00EB1822" w:rsidRPr="00666A2A" w:rsidRDefault="00EB1822" w:rsidP="007B6847">
            <w:pPr>
              <w:spacing w:after="120" w:line="360" w:lineRule="auto"/>
              <w:jc w:val="both"/>
              <w:rPr>
                <w:rFonts w:ascii="Arial" w:hAnsi="Arial" w:cs="Arial"/>
                <w:sz w:val="23"/>
                <w:szCs w:val="23"/>
              </w:rPr>
            </w:pPr>
            <w:r w:rsidRPr="00666A2A">
              <w:rPr>
                <w:rFonts w:ascii="Arial" w:hAnsi="Arial" w:cs="Arial"/>
                <w:sz w:val="23"/>
                <w:szCs w:val="23"/>
              </w:rPr>
              <w:t>The Resolution Framework, even as clarified by the Draft Standard, is inconsistent with international treatment of securities lending and repo transactions for banks in resolution. In the UK and European Union resolution regimes, securities lending and repo agreements are protected contracts and not subject to bail-in powers, except in respect of residual claims arising after close-out netting.</w:t>
            </w:r>
          </w:p>
        </w:tc>
        <w:tc>
          <w:tcPr>
            <w:tcW w:w="8646" w:type="dxa"/>
          </w:tcPr>
          <w:p w14:paraId="02EEDBE1" w14:textId="03C28DA3" w:rsidR="00EB1822" w:rsidRPr="00666A2A" w:rsidRDefault="00EB1822" w:rsidP="007B6847">
            <w:pPr>
              <w:spacing w:after="120" w:line="360" w:lineRule="auto"/>
              <w:jc w:val="both"/>
              <w:rPr>
                <w:rFonts w:ascii="Arial" w:hAnsi="Arial" w:cs="Arial"/>
                <w:sz w:val="23"/>
                <w:szCs w:val="23"/>
              </w:rPr>
            </w:pPr>
            <w:r w:rsidRPr="00666A2A">
              <w:rPr>
                <w:rFonts w:ascii="Arial" w:hAnsi="Arial" w:cs="Arial"/>
                <w:sz w:val="23"/>
                <w:szCs w:val="23"/>
              </w:rPr>
              <w:t>The comment is noted. The Authorit</w:t>
            </w:r>
            <w:r w:rsidR="00544924" w:rsidRPr="00666A2A">
              <w:rPr>
                <w:rFonts w:ascii="Arial" w:hAnsi="Arial" w:cs="Arial"/>
                <w:sz w:val="23"/>
                <w:szCs w:val="23"/>
              </w:rPr>
              <w:t xml:space="preserve">ies </w:t>
            </w:r>
            <w:r w:rsidRPr="00666A2A">
              <w:rPr>
                <w:rFonts w:ascii="Arial" w:hAnsi="Arial" w:cs="Arial"/>
                <w:sz w:val="23"/>
                <w:szCs w:val="23"/>
              </w:rPr>
              <w:t xml:space="preserve">remain committed to implementation of a resolution framework that is in line with international standards and best practices. Efforts are underway to ensure that the concerns raised in the submission and during subsequent engagements between the </w:t>
            </w:r>
            <w:r w:rsidR="002E7CFC" w:rsidRPr="00666A2A">
              <w:rPr>
                <w:rFonts w:ascii="Arial" w:hAnsi="Arial" w:cs="Arial"/>
                <w:sz w:val="23"/>
                <w:szCs w:val="23"/>
              </w:rPr>
              <w:t xml:space="preserve">Reserve </w:t>
            </w:r>
            <w:r w:rsidRPr="00666A2A">
              <w:rPr>
                <w:rFonts w:ascii="Arial" w:hAnsi="Arial" w:cs="Arial"/>
                <w:sz w:val="23"/>
                <w:szCs w:val="23"/>
              </w:rPr>
              <w:t>B</w:t>
            </w:r>
            <w:r w:rsidR="002E7CFC" w:rsidRPr="00666A2A">
              <w:rPr>
                <w:rFonts w:ascii="Arial" w:hAnsi="Arial" w:cs="Arial"/>
                <w:sz w:val="23"/>
                <w:szCs w:val="23"/>
              </w:rPr>
              <w:t>ank</w:t>
            </w:r>
            <w:r w:rsidRPr="00666A2A">
              <w:rPr>
                <w:rFonts w:ascii="Arial" w:hAnsi="Arial" w:cs="Arial"/>
                <w:sz w:val="23"/>
                <w:szCs w:val="23"/>
              </w:rPr>
              <w:t>, the National Treasury and the industry bodies concerned are addressed adequately.</w:t>
            </w:r>
          </w:p>
        </w:tc>
      </w:tr>
      <w:tr w:rsidR="002F4B9B" w:rsidRPr="00666A2A" w14:paraId="4856A5F2" w14:textId="20760455" w:rsidTr="00701142">
        <w:tc>
          <w:tcPr>
            <w:tcW w:w="20407" w:type="dxa"/>
            <w:gridSpan w:val="3"/>
          </w:tcPr>
          <w:p w14:paraId="6A90F032" w14:textId="23DEF1AF" w:rsidR="002F4B9B" w:rsidRPr="00666A2A" w:rsidRDefault="002F4B9B" w:rsidP="007B6847">
            <w:pPr>
              <w:spacing w:before="120" w:after="120" w:line="360" w:lineRule="auto"/>
              <w:jc w:val="center"/>
              <w:rPr>
                <w:rFonts w:ascii="Arial" w:hAnsi="Arial" w:cs="Arial"/>
                <w:b/>
                <w:bCs/>
                <w:sz w:val="23"/>
                <w:szCs w:val="23"/>
              </w:rPr>
            </w:pPr>
            <w:r w:rsidRPr="00666A2A">
              <w:rPr>
                <w:rFonts w:ascii="Arial" w:hAnsi="Arial" w:cs="Arial"/>
                <w:b/>
                <w:bCs/>
                <w:sz w:val="23"/>
                <w:szCs w:val="23"/>
              </w:rPr>
              <w:lastRenderedPageBreak/>
              <w:t>Proposed remedy</w:t>
            </w:r>
          </w:p>
        </w:tc>
      </w:tr>
      <w:tr w:rsidR="00875D12" w:rsidRPr="00666A2A" w14:paraId="48409F8D" w14:textId="555B8B4D" w:rsidTr="00FF7CA2">
        <w:tc>
          <w:tcPr>
            <w:tcW w:w="1843" w:type="dxa"/>
          </w:tcPr>
          <w:p w14:paraId="249DD9FF" w14:textId="2649D016" w:rsidR="00875D12" w:rsidRPr="00666A2A" w:rsidRDefault="00875D12" w:rsidP="00580B7B">
            <w:pPr>
              <w:spacing w:after="120" w:line="360" w:lineRule="auto"/>
              <w:rPr>
                <w:rFonts w:ascii="Arial" w:hAnsi="Arial" w:cs="Arial"/>
                <w:sz w:val="23"/>
                <w:szCs w:val="23"/>
              </w:rPr>
            </w:pPr>
            <w:r w:rsidRPr="00666A2A">
              <w:rPr>
                <w:rFonts w:ascii="Arial" w:hAnsi="Arial" w:cs="Arial"/>
                <w:sz w:val="23"/>
                <w:szCs w:val="23"/>
              </w:rPr>
              <w:t>ICMA and ISLA</w:t>
            </w:r>
          </w:p>
        </w:tc>
        <w:tc>
          <w:tcPr>
            <w:tcW w:w="9918" w:type="dxa"/>
          </w:tcPr>
          <w:p w14:paraId="7B84FE0F" w14:textId="77777777" w:rsidR="00875D1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t xml:space="preserve">We are advised that there would be a relatively simple remedy to these undesirable consequences. The remedy would be to make it </w:t>
            </w:r>
            <w:proofErr w:type="gramStart"/>
            <w:r w:rsidRPr="00666A2A">
              <w:rPr>
                <w:rFonts w:ascii="Arial" w:hAnsi="Arial" w:cs="Arial"/>
                <w:sz w:val="23"/>
                <w:szCs w:val="23"/>
              </w:rPr>
              <w:t>absolutely clear</w:t>
            </w:r>
            <w:proofErr w:type="gramEnd"/>
            <w:r w:rsidRPr="00666A2A">
              <w:rPr>
                <w:rFonts w:ascii="Arial" w:hAnsi="Arial" w:cs="Arial"/>
                <w:sz w:val="23"/>
                <w:szCs w:val="23"/>
              </w:rPr>
              <w:t xml:space="preserve">, in line with international practice, that securities lending transactions and repo transactions under a GMSLA / GMRA are intended to be treated in the same way as derivative transactions under an ISDA and are therefore: </w:t>
            </w:r>
          </w:p>
          <w:p w14:paraId="6093827C" w14:textId="3EC36FD1" w:rsidR="00875D12" w:rsidRPr="00666A2A" w:rsidRDefault="00875D12" w:rsidP="007B6847">
            <w:pPr>
              <w:pStyle w:val="ListParagraph"/>
              <w:numPr>
                <w:ilvl w:val="0"/>
                <w:numId w:val="13"/>
              </w:numPr>
              <w:spacing w:after="120" w:line="360" w:lineRule="auto"/>
              <w:jc w:val="both"/>
              <w:rPr>
                <w:rFonts w:ascii="Arial" w:hAnsi="Arial" w:cs="Arial"/>
                <w:sz w:val="23"/>
                <w:szCs w:val="23"/>
              </w:rPr>
            </w:pPr>
            <w:r w:rsidRPr="00666A2A">
              <w:rPr>
                <w:rFonts w:ascii="Arial" w:hAnsi="Arial" w:cs="Arial"/>
                <w:sz w:val="23"/>
                <w:szCs w:val="23"/>
              </w:rPr>
              <w:t>subject to the stays per S166L of the FSRA (as will be the case per the Draft Standard</w:t>
            </w:r>
            <w:proofErr w:type="gramStart"/>
            <w:r w:rsidRPr="00666A2A">
              <w:rPr>
                <w:rFonts w:ascii="Arial" w:hAnsi="Arial" w:cs="Arial"/>
                <w:sz w:val="23"/>
                <w:szCs w:val="23"/>
              </w:rPr>
              <w:t>);</w:t>
            </w:r>
            <w:proofErr w:type="gramEnd"/>
            <w:r w:rsidRPr="00666A2A">
              <w:rPr>
                <w:rFonts w:ascii="Arial" w:hAnsi="Arial" w:cs="Arial"/>
                <w:sz w:val="23"/>
                <w:szCs w:val="23"/>
              </w:rPr>
              <w:t xml:space="preserve"> </w:t>
            </w:r>
          </w:p>
          <w:p w14:paraId="5A6AEA9B" w14:textId="7D51D6A9" w:rsidR="00875D12" w:rsidRPr="00666A2A" w:rsidRDefault="00875D12" w:rsidP="007B6847">
            <w:pPr>
              <w:pStyle w:val="ListParagraph"/>
              <w:numPr>
                <w:ilvl w:val="0"/>
                <w:numId w:val="13"/>
              </w:numPr>
              <w:spacing w:after="120" w:line="360" w:lineRule="auto"/>
              <w:jc w:val="both"/>
              <w:rPr>
                <w:rFonts w:ascii="Arial" w:hAnsi="Arial" w:cs="Arial"/>
                <w:sz w:val="23"/>
                <w:szCs w:val="23"/>
              </w:rPr>
            </w:pPr>
            <w:r w:rsidRPr="00666A2A">
              <w:rPr>
                <w:rFonts w:ascii="Arial" w:hAnsi="Arial" w:cs="Arial"/>
                <w:sz w:val="23"/>
                <w:szCs w:val="23"/>
              </w:rPr>
              <w:t xml:space="preserve">subject to the resolution moratoria per S166R of the FSRA (as will be the case per the Draft Standard); and </w:t>
            </w:r>
          </w:p>
          <w:p w14:paraId="1317D4F1" w14:textId="73AE10E9" w:rsidR="00875D12" w:rsidRPr="00666A2A" w:rsidRDefault="00875D12" w:rsidP="007B6847">
            <w:pPr>
              <w:pStyle w:val="ListParagraph"/>
              <w:numPr>
                <w:ilvl w:val="0"/>
                <w:numId w:val="13"/>
              </w:numPr>
              <w:spacing w:after="120" w:line="360" w:lineRule="auto"/>
              <w:jc w:val="both"/>
              <w:rPr>
                <w:rFonts w:ascii="Arial" w:hAnsi="Arial" w:cs="Arial"/>
                <w:sz w:val="23"/>
                <w:szCs w:val="23"/>
              </w:rPr>
            </w:pPr>
            <w:r w:rsidRPr="00666A2A">
              <w:rPr>
                <w:rFonts w:ascii="Arial" w:hAnsi="Arial" w:cs="Arial"/>
                <w:sz w:val="23"/>
                <w:szCs w:val="23"/>
              </w:rPr>
              <w:t>exempt from S166</w:t>
            </w:r>
            <w:proofErr w:type="gramStart"/>
            <w:r w:rsidRPr="00666A2A">
              <w:rPr>
                <w:rFonts w:ascii="Arial" w:hAnsi="Arial" w:cs="Arial"/>
                <w:sz w:val="23"/>
                <w:szCs w:val="23"/>
              </w:rPr>
              <w:t>S(</w:t>
            </w:r>
            <w:proofErr w:type="gramEnd"/>
            <w:r w:rsidRPr="00666A2A">
              <w:rPr>
                <w:rFonts w:ascii="Arial" w:hAnsi="Arial" w:cs="Arial"/>
                <w:sz w:val="23"/>
                <w:szCs w:val="23"/>
              </w:rPr>
              <w:t xml:space="preserve">7) of the FSRA, (which is not the case in the FSRA and has not been addressed in the Draft Standard or elsewhere). </w:t>
            </w:r>
          </w:p>
          <w:p w14:paraId="56C0C4A8" w14:textId="40054AD8" w:rsidR="00875D1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t xml:space="preserve">The solution would be to promulgate an amendment to the FSRA which replaces S166S(9)(b) of the FSRA in its entirety with the carve-out: </w:t>
            </w:r>
            <w:r w:rsidRPr="00666A2A">
              <w:rPr>
                <w:rFonts w:ascii="Arial" w:hAnsi="Arial" w:cs="Arial"/>
                <w:i/>
                <w:iCs/>
                <w:sz w:val="23"/>
                <w:szCs w:val="23"/>
              </w:rPr>
              <w:t>“transactions concluded under “master agreements” as defined in Section 35</w:t>
            </w:r>
            <w:proofErr w:type="gramStart"/>
            <w:r w:rsidRPr="00666A2A">
              <w:rPr>
                <w:rFonts w:ascii="Arial" w:hAnsi="Arial" w:cs="Arial"/>
                <w:i/>
                <w:iCs/>
                <w:sz w:val="23"/>
                <w:szCs w:val="23"/>
              </w:rPr>
              <w:t>B(</w:t>
            </w:r>
            <w:proofErr w:type="gramEnd"/>
            <w:r w:rsidRPr="00666A2A">
              <w:rPr>
                <w:rFonts w:ascii="Arial" w:hAnsi="Arial" w:cs="Arial"/>
                <w:i/>
                <w:iCs/>
                <w:sz w:val="23"/>
                <w:szCs w:val="23"/>
              </w:rPr>
              <w:t>2) of the Insolvency Act.”.</w:t>
            </w:r>
          </w:p>
        </w:tc>
        <w:tc>
          <w:tcPr>
            <w:tcW w:w="8646" w:type="dxa"/>
          </w:tcPr>
          <w:p w14:paraId="33FBDA59" w14:textId="6744D4EC" w:rsidR="00875D1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t xml:space="preserve">The comment is noted. The </w:t>
            </w:r>
            <w:r w:rsidR="00ED673E" w:rsidRPr="00666A2A">
              <w:rPr>
                <w:rFonts w:ascii="Arial" w:hAnsi="Arial" w:cs="Arial"/>
                <w:sz w:val="23"/>
                <w:szCs w:val="23"/>
              </w:rPr>
              <w:t>Reserve Bank</w:t>
            </w:r>
            <w:r w:rsidRPr="00666A2A">
              <w:rPr>
                <w:rFonts w:ascii="Arial" w:hAnsi="Arial" w:cs="Arial"/>
                <w:sz w:val="23"/>
                <w:szCs w:val="23"/>
              </w:rPr>
              <w:t xml:space="preserve"> and the National Treasury are considering the most viable approach to resolve the issue in line with the remedy proposed by the industry bodies. </w:t>
            </w:r>
          </w:p>
        </w:tc>
      </w:tr>
      <w:tr w:rsidR="00875D12" w:rsidRPr="00666A2A" w14:paraId="470833FC" w14:textId="5FF445D9" w:rsidTr="00FF7CA2">
        <w:tc>
          <w:tcPr>
            <w:tcW w:w="1843" w:type="dxa"/>
          </w:tcPr>
          <w:p w14:paraId="153341AF" w14:textId="4F9B5851" w:rsidR="00875D12" w:rsidRPr="00666A2A" w:rsidRDefault="00875D12" w:rsidP="00580B7B">
            <w:pPr>
              <w:spacing w:after="120" w:line="360" w:lineRule="auto"/>
              <w:rPr>
                <w:rFonts w:ascii="Arial" w:hAnsi="Arial" w:cs="Arial"/>
                <w:sz w:val="23"/>
                <w:szCs w:val="23"/>
              </w:rPr>
            </w:pPr>
            <w:r w:rsidRPr="00666A2A">
              <w:rPr>
                <w:rFonts w:ascii="Arial" w:hAnsi="Arial" w:cs="Arial"/>
                <w:sz w:val="23"/>
                <w:szCs w:val="23"/>
              </w:rPr>
              <w:t>ISDA</w:t>
            </w:r>
          </w:p>
        </w:tc>
        <w:tc>
          <w:tcPr>
            <w:tcW w:w="9918" w:type="dxa"/>
          </w:tcPr>
          <w:p w14:paraId="6A6B8600" w14:textId="5433AA97" w:rsidR="00875D1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t>We submit that an amendment to the primary legislation (</w:t>
            </w:r>
            <w:proofErr w:type="spellStart"/>
            <w:r w:rsidRPr="00666A2A">
              <w:rPr>
                <w:rFonts w:ascii="Arial" w:hAnsi="Arial" w:cs="Arial"/>
                <w:sz w:val="23"/>
                <w:szCs w:val="23"/>
              </w:rPr>
              <w:t>ie</w:t>
            </w:r>
            <w:proofErr w:type="spellEnd"/>
            <w:r w:rsidRPr="00666A2A">
              <w:rPr>
                <w:rFonts w:ascii="Arial" w:hAnsi="Arial" w:cs="Arial"/>
                <w:sz w:val="23"/>
                <w:szCs w:val="23"/>
              </w:rPr>
              <w:t xml:space="preserve"> the FSRA) should be promulgated (Amendment Act) to replace section 166S(9)(b) of the FSRA in its entirety with the carve-out: </w:t>
            </w:r>
            <w:r w:rsidRPr="00666A2A">
              <w:rPr>
                <w:rFonts w:ascii="Arial" w:hAnsi="Arial" w:cs="Arial"/>
                <w:i/>
                <w:iCs/>
                <w:sz w:val="23"/>
                <w:szCs w:val="23"/>
              </w:rPr>
              <w:t>“transactions concluded under “master agreements” as defined in section 35</w:t>
            </w:r>
            <w:proofErr w:type="gramStart"/>
            <w:r w:rsidRPr="00666A2A">
              <w:rPr>
                <w:rFonts w:ascii="Arial" w:hAnsi="Arial" w:cs="Arial"/>
                <w:i/>
                <w:iCs/>
                <w:sz w:val="23"/>
                <w:szCs w:val="23"/>
              </w:rPr>
              <w:t>B(</w:t>
            </w:r>
            <w:proofErr w:type="gramEnd"/>
            <w:r w:rsidRPr="00666A2A">
              <w:rPr>
                <w:rFonts w:ascii="Arial" w:hAnsi="Arial" w:cs="Arial"/>
                <w:i/>
                <w:iCs/>
                <w:sz w:val="23"/>
                <w:szCs w:val="23"/>
              </w:rPr>
              <w:t>2) of the Insolvency Act.”</w:t>
            </w:r>
          </w:p>
        </w:tc>
        <w:tc>
          <w:tcPr>
            <w:tcW w:w="8646" w:type="dxa"/>
          </w:tcPr>
          <w:p w14:paraId="3928748B" w14:textId="0A21E674" w:rsidR="00875D1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t xml:space="preserve">The comment is noted. The </w:t>
            </w:r>
            <w:r w:rsidR="00ED673E" w:rsidRPr="00666A2A">
              <w:rPr>
                <w:rFonts w:ascii="Arial" w:hAnsi="Arial" w:cs="Arial"/>
                <w:sz w:val="23"/>
                <w:szCs w:val="23"/>
              </w:rPr>
              <w:t>Reserve Bank</w:t>
            </w:r>
            <w:r w:rsidRPr="00666A2A">
              <w:rPr>
                <w:rFonts w:ascii="Arial" w:hAnsi="Arial" w:cs="Arial"/>
                <w:sz w:val="23"/>
                <w:szCs w:val="23"/>
              </w:rPr>
              <w:t xml:space="preserve"> and the National Treasury are considering the most viable approach to resolve the issue in line with the remedy proposed by the industry bodies. </w:t>
            </w:r>
          </w:p>
        </w:tc>
      </w:tr>
      <w:tr w:rsidR="00875D12" w:rsidRPr="00666A2A" w14:paraId="0A8E09A1" w14:textId="600BC2C0" w:rsidTr="00FF7CA2">
        <w:tc>
          <w:tcPr>
            <w:tcW w:w="1843" w:type="dxa"/>
          </w:tcPr>
          <w:p w14:paraId="60DDD062" w14:textId="1597EFF3" w:rsidR="00875D12" w:rsidRPr="00666A2A" w:rsidRDefault="00875D12" w:rsidP="00580B7B">
            <w:pPr>
              <w:spacing w:after="120" w:line="360" w:lineRule="auto"/>
              <w:rPr>
                <w:rFonts w:ascii="Arial" w:hAnsi="Arial" w:cs="Arial"/>
                <w:sz w:val="23"/>
                <w:szCs w:val="23"/>
              </w:rPr>
            </w:pPr>
            <w:r w:rsidRPr="00666A2A">
              <w:rPr>
                <w:rFonts w:ascii="Arial" w:hAnsi="Arial" w:cs="Arial"/>
                <w:sz w:val="23"/>
                <w:szCs w:val="23"/>
              </w:rPr>
              <w:t>SASLA</w:t>
            </w:r>
          </w:p>
        </w:tc>
        <w:tc>
          <w:tcPr>
            <w:tcW w:w="9918" w:type="dxa"/>
          </w:tcPr>
          <w:p w14:paraId="38903218" w14:textId="3A6405EF" w:rsidR="00875D1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t>The only certain way to solve the issues described above would be to amend the Act to provide that GMSLAs and GMRAs are treated identically to ISDAs and derivative instruments in resolution (e.g. by amendment to section 166</w:t>
            </w:r>
            <w:proofErr w:type="gramStart"/>
            <w:r w:rsidRPr="00666A2A">
              <w:rPr>
                <w:rFonts w:ascii="Arial" w:hAnsi="Arial" w:cs="Arial"/>
                <w:sz w:val="23"/>
                <w:szCs w:val="23"/>
              </w:rPr>
              <w:t>S(</w:t>
            </w:r>
            <w:proofErr w:type="gramEnd"/>
            <w:r w:rsidRPr="00666A2A">
              <w:rPr>
                <w:rFonts w:ascii="Arial" w:hAnsi="Arial" w:cs="Arial"/>
                <w:sz w:val="23"/>
                <w:szCs w:val="23"/>
              </w:rPr>
              <w:t xml:space="preserve">9) to include GMSLAs and GMRAs). SASLA proposes that section 166S(9)(b) of the Act is replaced with: "(b) </w:t>
            </w:r>
            <w:r w:rsidRPr="00666A2A">
              <w:rPr>
                <w:rFonts w:ascii="Arial" w:hAnsi="Arial" w:cs="Arial"/>
                <w:i/>
                <w:iCs/>
                <w:sz w:val="23"/>
                <w:szCs w:val="23"/>
              </w:rPr>
              <w:t>“transactions concluded under “master agreements” as defined in section 35</w:t>
            </w:r>
            <w:proofErr w:type="gramStart"/>
            <w:r w:rsidRPr="00666A2A">
              <w:rPr>
                <w:rFonts w:ascii="Arial" w:hAnsi="Arial" w:cs="Arial"/>
                <w:i/>
                <w:iCs/>
                <w:sz w:val="23"/>
                <w:szCs w:val="23"/>
              </w:rPr>
              <w:t>B(</w:t>
            </w:r>
            <w:proofErr w:type="gramEnd"/>
            <w:r w:rsidRPr="00666A2A">
              <w:rPr>
                <w:rFonts w:ascii="Arial" w:hAnsi="Arial" w:cs="Arial"/>
                <w:i/>
                <w:iCs/>
                <w:sz w:val="23"/>
                <w:szCs w:val="23"/>
              </w:rPr>
              <w:t>2) of the Insolvency Act.”.</w:t>
            </w:r>
          </w:p>
        </w:tc>
        <w:tc>
          <w:tcPr>
            <w:tcW w:w="8646" w:type="dxa"/>
          </w:tcPr>
          <w:p w14:paraId="3E3B19D0" w14:textId="39019DA7" w:rsidR="00875D12" w:rsidRPr="00666A2A" w:rsidRDefault="00875D12" w:rsidP="007B6847">
            <w:pPr>
              <w:spacing w:after="120" w:line="360" w:lineRule="auto"/>
              <w:jc w:val="both"/>
              <w:rPr>
                <w:rFonts w:ascii="Arial" w:hAnsi="Arial" w:cs="Arial"/>
                <w:sz w:val="23"/>
                <w:szCs w:val="23"/>
              </w:rPr>
            </w:pPr>
            <w:r w:rsidRPr="00666A2A">
              <w:rPr>
                <w:rFonts w:ascii="Arial" w:hAnsi="Arial" w:cs="Arial"/>
                <w:sz w:val="23"/>
                <w:szCs w:val="23"/>
              </w:rPr>
              <w:t xml:space="preserve">The comment is noted. The </w:t>
            </w:r>
            <w:r w:rsidR="00ED673E" w:rsidRPr="00666A2A">
              <w:rPr>
                <w:rFonts w:ascii="Arial" w:hAnsi="Arial" w:cs="Arial"/>
                <w:sz w:val="23"/>
                <w:szCs w:val="23"/>
              </w:rPr>
              <w:t>Reserve Bank</w:t>
            </w:r>
            <w:r w:rsidRPr="00666A2A">
              <w:rPr>
                <w:rFonts w:ascii="Arial" w:hAnsi="Arial" w:cs="Arial"/>
                <w:sz w:val="23"/>
                <w:szCs w:val="23"/>
              </w:rPr>
              <w:t xml:space="preserve"> and the National Treasury are considering the most viable approach to resolve the issue in line with the remedy proposed by the industry bodies. </w:t>
            </w:r>
          </w:p>
        </w:tc>
      </w:tr>
    </w:tbl>
    <w:p w14:paraId="1CAB8185" w14:textId="77777777" w:rsidR="000B5567" w:rsidRPr="00666A2A" w:rsidRDefault="000B5567" w:rsidP="00D440AD">
      <w:pPr>
        <w:spacing w:after="0" w:line="240" w:lineRule="auto"/>
        <w:rPr>
          <w:rFonts w:ascii="Arial" w:hAnsi="Arial" w:cs="Arial"/>
          <w:sz w:val="23"/>
          <w:szCs w:val="23"/>
        </w:rPr>
      </w:pPr>
    </w:p>
    <w:sectPr w:rsidR="000B5567" w:rsidRPr="00666A2A" w:rsidSect="00FF7CA2">
      <w:pgSz w:w="23811" w:h="16838" w:orient="landscape" w:code="8"/>
      <w:pgMar w:top="2580" w:right="1440" w:bottom="25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5FD2" w14:textId="77777777" w:rsidR="00073207" w:rsidRDefault="00073207" w:rsidP="00A701F9">
      <w:pPr>
        <w:spacing w:after="0" w:line="240" w:lineRule="auto"/>
      </w:pPr>
      <w:r>
        <w:separator/>
      </w:r>
    </w:p>
  </w:endnote>
  <w:endnote w:type="continuationSeparator" w:id="0">
    <w:p w14:paraId="5571FE52" w14:textId="77777777" w:rsidR="00073207" w:rsidRDefault="00073207" w:rsidP="00A7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AEE6" w14:textId="77777777" w:rsidR="00360ED2" w:rsidRDefault="00360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363980"/>
      <w:docPartObj>
        <w:docPartGallery w:val="Page Numbers (Bottom of Page)"/>
        <w:docPartUnique/>
      </w:docPartObj>
    </w:sdtPr>
    <w:sdtEndPr>
      <w:rPr>
        <w:noProof/>
      </w:rPr>
    </w:sdtEndPr>
    <w:sdtContent>
      <w:p w14:paraId="212CE4F5" w14:textId="2169E371" w:rsidR="001D2105" w:rsidRDefault="001D2105">
        <w:pPr>
          <w:pStyle w:val="Footer"/>
          <w:jc w:val="right"/>
        </w:pPr>
        <w:r w:rsidRPr="006C29EF">
          <w:rPr>
            <w:rFonts w:ascii="Arial" w:hAnsi="Arial" w:cs="Arial"/>
          </w:rPr>
          <w:fldChar w:fldCharType="begin"/>
        </w:r>
        <w:r w:rsidRPr="006C29EF">
          <w:rPr>
            <w:rFonts w:ascii="Arial" w:hAnsi="Arial" w:cs="Arial"/>
          </w:rPr>
          <w:instrText xml:space="preserve"> PAGE   \* MERGEFORMAT </w:instrText>
        </w:r>
        <w:r w:rsidRPr="006C29EF">
          <w:rPr>
            <w:rFonts w:ascii="Arial" w:hAnsi="Arial" w:cs="Arial"/>
          </w:rPr>
          <w:fldChar w:fldCharType="separate"/>
        </w:r>
        <w:r w:rsidRPr="006C29EF">
          <w:rPr>
            <w:rFonts w:ascii="Arial" w:hAnsi="Arial" w:cs="Arial"/>
            <w:noProof/>
          </w:rPr>
          <w:t>2</w:t>
        </w:r>
        <w:r w:rsidRPr="006C29EF">
          <w:rPr>
            <w:rFonts w:ascii="Arial" w:hAnsi="Arial" w:cs="Arial"/>
            <w:noProof/>
          </w:rPr>
          <w:fldChar w:fldCharType="end"/>
        </w:r>
      </w:p>
    </w:sdtContent>
  </w:sdt>
  <w:p w14:paraId="3092DCAE" w14:textId="77777777" w:rsidR="001D2105" w:rsidRDefault="001D2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9B3A" w14:textId="77777777" w:rsidR="00360ED2" w:rsidRDefault="0036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B82B" w14:textId="77777777" w:rsidR="00073207" w:rsidRDefault="00073207" w:rsidP="00A701F9">
      <w:pPr>
        <w:spacing w:after="0" w:line="240" w:lineRule="auto"/>
      </w:pPr>
      <w:r>
        <w:separator/>
      </w:r>
    </w:p>
  </w:footnote>
  <w:footnote w:type="continuationSeparator" w:id="0">
    <w:p w14:paraId="6436869A" w14:textId="77777777" w:rsidR="00073207" w:rsidRDefault="00073207" w:rsidP="00A7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5688" w14:textId="77777777" w:rsidR="00360ED2" w:rsidRDefault="00360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8C74" w14:textId="77777777" w:rsidR="00360ED2" w:rsidRDefault="00360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7378" w14:textId="77777777" w:rsidR="00360ED2" w:rsidRDefault="0036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A6F"/>
    <w:multiLevelType w:val="hybridMultilevel"/>
    <w:tmpl w:val="F180753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020A05"/>
    <w:multiLevelType w:val="hybridMultilevel"/>
    <w:tmpl w:val="D9DA1FC4"/>
    <w:lvl w:ilvl="0" w:tplc="FFFFFFFF">
      <w:start w:val="1"/>
      <w:numFmt w:val="decimal"/>
      <w:lvlText w:val="%1."/>
      <w:lvlJc w:val="left"/>
      <w:pPr>
        <w:ind w:left="786" w:hanging="360"/>
      </w:p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2" w15:restartNumberingAfterBreak="0">
    <w:nsid w:val="0B8355C5"/>
    <w:multiLevelType w:val="hybridMultilevel"/>
    <w:tmpl w:val="50E83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951D45"/>
    <w:multiLevelType w:val="hybridMultilevel"/>
    <w:tmpl w:val="CD8E7822"/>
    <w:lvl w:ilvl="0" w:tplc="13A2763E">
      <w:start w:val="5"/>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5A2559"/>
    <w:multiLevelType w:val="hybridMultilevel"/>
    <w:tmpl w:val="ECDA14EC"/>
    <w:lvl w:ilvl="0" w:tplc="2B106D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107568"/>
    <w:multiLevelType w:val="hybridMultilevel"/>
    <w:tmpl w:val="DB7260B0"/>
    <w:lvl w:ilvl="0" w:tplc="E6F01FD0">
      <w:start w:val="5"/>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C221F4"/>
    <w:multiLevelType w:val="hybridMultilevel"/>
    <w:tmpl w:val="66A09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5C93945"/>
    <w:multiLevelType w:val="multilevel"/>
    <w:tmpl w:val="C92E85B4"/>
    <w:lvl w:ilvl="0">
      <w:start w:val="1"/>
      <w:numFmt w:val="decimal"/>
      <w:lvlText w:val="%1."/>
      <w:lvlJc w:val="left"/>
      <w:pPr>
        <w:ind w:left="720" w:hanging="360"/>
      </w:pPr>
      <w:rPr>
        <w:rFonts w:ascii="Arial" w:hAnsi="Arial" w:cs="Arial" w:hint="default"/>
        <w:b/>
        <w:bCs/>
        <w:sz w:val="22"/>
        <w:szCs w:val="22"/>
      </w:rPr>
    </w:lvl>
    <w:lvl w:ilvl="1">
      <w:start w:val="1"/>
      <w:numFmt w:val="decimal"/>
      <w:isLgl/>
      <w:lvlText w:val="%1.%2"/>
      <w:lvlJc w:val="left"/>
      <w:pPr>
        <w:ind w:left="720" w:hanging="360"/>
      </w:pPr>
      <w:rPr>
        <w:rFonts w:ascii="Arial" w:hAnsi="Arial" w:cs="Arial" w:hint="default"/>
        <w:b w:val="0"/>
        <w:bCs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15:restartNumberingAfterBreak="0">
    <w:nsid w:val="2A967E26"/>
    <w:multiLevelType w:val="hybridMultilevel"/>
    <w:tmpl w:val="46C2D400"/>
    <w:lvl w:ilvl="0" w:tplc="CB2874FC">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E8E3ED6"/>
    <w:multiLevelType w:val="hybridMultilevel"/>
    <w:tmpl w:val="F8C42966"/>
    <w:lvl w:ilvl="0" w:tplc="002CFD94">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FB613F1"/>
    <w:multiLevelType w:val="hybridMultilevel"/>
    <w:tmpl w:val="F7D43C00"/>
    <w:lvl w:ilvl="0" w:tplc="C8CA9F18">
      <w:start w:val="5"/>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51812F0"/>
    <w:multiLevelType w:val="hybridMultilevel"/>
    <w:tmpl w:val="7C78A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9867AD2"/>
    <w:multiLevelType w:val="hybridMultilevel"/>
    <w:tmpl w:val="476A2AD4"/>
    <w:lvl w:ilvl="0" w:tplc="2B106D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4E0986"/>
    <w:multiLevelType w:val="hybridMultilevel"/>
    <w:tmpl w:val="90F45DB2"/>
    <w:lvl w:ilvl="0" w:tplc="2E783E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9359F"/>
    <w:multiLevelType w:val="hybridMultilevel"/>
    <w:tmpl w:val="FD2E8E2E"/>
    <w:lvl w:ilvl="0" w:tplc="2B106D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1870E15"/>
    <w:multiLevelType w:val="hybridMultilevel"/>
    <w:tmpl w:val="FE68A170"/>
    <w:lvl w:ilvl="0" w:tplc="2E8E8162">
      <w:start w:val="1"/>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42A4610"/>
    <w:multiLevelType w:val="hybridMultilevel"/>
    <w:tmpl w:val="33E05E84"/>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28C7D1F"/>
    <w:multiLevelType w:val="hybridMultilevel"/>
    <w:tmpl w:val="A44C901A"/>
    <w:lvl w:ilvl="0" w:tplc="2B106D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7E809C4"/>
    <w:multiLevelType w:val="hybridMultilevel"/>
    <w:tmpl w:val="D9DA1FC4"/>
    <w:lvl w:ilvl="0" w:tplc="1C09000F">
      <w:start w:val="1"/>
      <w:numFmt w:val="decimal"/>
      <w:lvlText w:val="%1."/>
      <w:lvlJc w:val="left"/>
      <w:pPr>
        <w:ind w:left="786" w:hanging="360"/>
      </w:p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abstractNum w:abstractNumId="19" w15:restartNumberingAfterBreak="0">
    <w:nsid w:val="764A416B"/>
    <w:multiLevelType w:val="hybridMultilevel"/>
    <w:tmpl w:val="E07A4D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C7F5ADE"/>
    <w:multiLevelType w:val="multilevel"/>
    <w:tmpl w:val="DB889FA4"/>
    <w:lvl w:ilvl="0">
      <w:start w:val="1"/>
      <w:numFmt w:val="decimal"/>
      <w:lvlText w:val="%1."/>
      <w:lvlJc w:val="left"/>
      <w:pPr>
        <w:ind w:left="1250" w:hanging="360"/>
      </w:pPr>
      <w:rPr>
        <w:rFonts w:hint="default"/>
        <w:b/>
        <w:bCs/>
      </w:rPr>
    </w:lvl>
    <w:lvl w:ilvl="1">
      <w:start w:val="1"/>
      <w:numFmt w:val="decimal"/>
      <w:isLgl/>
      <w:lvlText w:val="%1.%2."/>
      <w:lvlJc w:val="left"/>
      <w:pPr>
        <w:ind w:left="1250" w:hanging="360"/>
      </w:pPr>
      <w:rPr>
        <w:rFonts w:hint="default"/>
        <w:b/>
        <w:bCs/>
      </w:rPr>
    </w:lvl>
    <w:lvl w:ilvl="2">
      <w:start w:val="1"/>
      <w:numFmt w:val="decimal"/>
      <w:isLgl/>
      <w:lvlText w:val="%1.%2.%3."/>
      <w:lvlJc w:val="left"/>
      <w:pPr>
        <w:ind w:left="1610" w:hanging="720"/>
      </w:pPr>
      <w:rPr>
        <w:rFonts w:hint="default"/>
      </w:rPr>
    </w:lvl>
    <w:lvl w:ilvl="3">
      <w:start w:val="1"/>
      <w:numFmt w:val="decimal"/>
      <w:isLgl/>
      <w:lvlText w:val="%1.%2.%3.%4."/>
      <w:lvlJc w:val="left"/>
      <w:pPr>
        <w:ind w:left="1610" w:hanging="72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1970"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330" w:hanging="1440"/>
      </w:pPr>
      <w:rPr>
        <w:rFonts w:hint="default"/>
      </w:rPr>
    </w:lvl>
    <w:lvl w:ilvl="8">
      <w:start w:val="1"/>
      <w:numFmt w:val="decimal"/>
      <w:isLgl/>
      <w:lvlText w:val="%1.%2.%3.%4.%5.%6.%7.%8.%9."/>
      <w:lvlJc w:val="left"/>
      <w:pPr>
        <w:ind w:left="2690" w:hanging="1800"/>
      </w:pPr>
      <w:rPr>
        <w:rFonts w:hint="default"/>
      </w:rPr>
    </w:lvl>
  </w:abstractNum>
  <w:num w:numId="1" w16cid:durableId="109201951">
    <w:abstractNumId w:val="7"/>
  </w:num>
  <w:num w:numId="2" w16cid:durableId="668406258">
    <w:abstractNumId w:val="13"/>
  </w:num>
  <w:num w:numId="3" w16cid:durableId="1048532667">
    <w:abstractNumId w:val="9"/>
  </w:num>
  <w:num w:numId="4" w16cid:durableId="1129392863">
    <w:abstractNumId w:val="18"/>
  </w:num>
  <w:num w:numId="5" w16cid:durableId="1538078706">
    <w:abstractNumId w:val="20"/>
  </w:num>
  <w:num w:numId="6" w16cid:durableId="1434008759">
    <w:abstractNumId w:val="0"/>
  </w:num>
  <w:num w:numId="7" w16cid:durableId="817111117">
    <w:abstractNumId w:val="15"/>
  </w:num>
  <w:num w:numId="8" w16cid:durableId="1771583775">
    <w:abstractNumId w:val="6"/>
  </w:num>
  <w:num w:numId="9" w16cid:durableId="1231576529">
    <w:abstractNumId w:val="10"/>
  </w:num>
  <w:num w:numId="10" w16cid:durableId="360596390">
    <w:abstractNumId w:val="5"/>
  </w:num>
  <w:num w:numId="11" w16cid:durableId="1949967965">
    <w:abstractNumId w:val="3"/>
  </w:num>
  <w:num w:numId="12" w16cid:durableId="1305039356">
    <w:abstractNumId w:val="19"/>
  </w:num>
  <w:num w:numId="13" w16cid:durableId="732969814">
    <w:abstractNumId w:val="2"/>
  </w:num>
  <w:num w:numId="14" w16cid:durableId="699159764">
    <w:abstractNumId w:val="11"/>
  </w:num>
  <w:num w:numId="15" w16cid:durableId="2079983310">
    <w:abstractNumId w:val="16"/>
  </w:num>
  <w:num w:numId="16" w16cid:durableId="162626969">
    <w:abstractNumId w:val="1"/>
  </w:num>
  <w:num w:numId="17" w16cid:durableId="184904213">
    <w:abstractNumId w:val="8"/>
  </w:num>
  <w:num w:numId="18" w16cid:durableId="1808543107">
    <w:abstractNumId w:val="12"/>
  </w:num>
  <w:num w:numId="19" w16cid:durableId="1722318532">
    <w:abstractNumId w:val="4"/>
  </w:num>
  <w:num w:numId="20" w16cid:durableId="400756821">
    <w:abstractNumId w:val="17"/>
  </w:num>
  <w:num w:numId="21" w16cid:durableId="45799174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F9"/>
    <w:rsid w:val="000014F6"/>
    <w:rsid w:val="000020CF"/>
    <w:rsid w:val="00002637"/>
    <w:rsid w:val="0000291E"/>
    <w:rsid w:val="00002ABD"/>
    <w:rsid w:val="00002F82"/>
    <w:rsid w:val="00005C9E"/>
    <w:rsid w:val="00006CA1"/>
    <w:rsid w:val="0000707C"/>
    <w:rsid w:val="0000734D"/>
    <w:rsid w:val="00007AC7"/>
    <w:rsid w:val="00010DF7"/>
    <w:rsid w:val="00011C5E"/>
    <w:rsid w:val="00011EEF"/>
    <w:rsid w:val="00012813"/>
    <w:rsid w:val="00013241"/>
    <w:rsid w:val="0001476A"/>
    <w:rsid w:val="0001722B"/>
    <w:rsid w:val="0002072D"/>
    <w:rsid w:val="00022B69"/>
    <w:rsid w:val="00023714"/>
    <w:rsid w:val="00025528"/>
    <w:rsid w:val="0003076C"/>
    <w:rsid w:val="00031AFE"/>
    <w:rsid w:val="00033225"/>
    <w:rsid w:val="00033537"/>
    <w:rsid w:val="000349EA"/>
    <w:rsid w:val="00036353"/>
    <w:rsid w:val="000365ED"/>
    <w:rsid w:val="00036795"/>
    <w:rsid w:val="00036BD3"/>
    <w:rsid w:val="00037346"/>
    <w:rsid w:val="00040221"/>
    <w:rsid w:val="00041640"/>
    <w:rsid w:val="00041831"/>
    <w:rsid w:val="00041C53"/>
    <w:rsid w:val="0004314C"/>
    <w:rsid w:val="00043899"/>
    <w:rsid w:val="0004651A"/>
    <w:rsid w:val="00047872"/>
    <w:rsid w:val="00047874"/>
    <w:rsid w:val="00050C9A"/>
    <w:rsid w:val="0005223D"/>
    <w:rsid w:val="00052941"/>
    <w:rsid w:val="00052E43"/>
    <w:rsid w:val="000545DB"/>
    <w:rsid w:val="00054A20"/>
    <w:rsid w:val="00056042"/>
    <w:rsid w:val="00056555"/>
    <w:rsid w:val="0005691B"/>
    <w:rsid w:val="00060064"/>
    <w:rsid w:val="00060579"/>
    <w:rsid w:val="00060853"/>
    <w:rsid w:val="00063FB7"/>
    <w:rsid w:val="00064724"/>
    <w:rsid w:val="00064AD3"/>
    <w:rsid w:val="00064F4A"/>
    <w:rsid w:val="00065FF6"/>
    <w:rsid w:val="00066A9F"/>
    <w:rsid w:val="00066DAE"/>
    <w:rsid w:val="000701BE"/>
    <w:rsid w:val="00070975"/>
    <w:rsid w:val="00070BF6"/>
    <w:rsid w:val="00071737"/>
    <w:rsid w:val="000724CB"/>
    <w:rsid w:val="00073207"/>
    <w:rsid w:val="00073791"/>
    <w:rsid w:val="00075A94"/>
    <w:rsid w:val="00075BCD"/>
    <w:rsid w:val="00075D6C"/>
    <w:rsid w:val="00076162"/>
    <w:rsid w:val="0007636A"/>
    <w:rsid w:val="00077A16"/>
    <w:rsid w:val="00086678"/>
    <w:rsid w:val="00090A81"/>
    <w:rsid w:val="000918D0"/>
    <w:rsid w:val="00091CE6"/>
    <w:rsid w:val="00092DA3"/>
    <w:rsid w:val="000939DF"/>
    <w:rsid w:val="00095EAC"/>
    <w:rsid w:val="00096005"/>
    <w:rsid w:val="00097794"/>
    <w:rsid w:val="000977F1"/>
    <w:rsid w:val="000A198E"/>
    <w:rsid w:val="000A21E7"/>
    <w:rsid w:val="000A5E3E"/>
    <w:rsid w:val="000A62BC"/>
    <w:rsid w:val="000A78E0"/>
    <w:rsid w:val="000A7A66"/>
    <w:rsid w:val="000B2235"/>
    <w:rsid w:val="000B3108"/>
    <w:rsid w:val="000B4A85"/>
    <w:rsid w:val="000B4CA6"/>
    <w:rsid w:val="000B5567"/>
    <w:rsid w:val="000B5952"/>
    <w:rsid w:val="000C5A2E"/>
    <w:rsid w:val="000D322B"/>
    <w:rsid w:val="000D3CD7"/>
    <w:rsid w:val="000D3E70"/>
    <w:rsid w:val="000D42E4"/>
    <w:rsid w:val="000D436E"/>
    <w:rsid w:val="000D458E"/>
    <w:rsid w:val="000D4C82"/>
    <w:rsid w:val="000D7C27"/>
    <w:rsid w:val="000D7E36"/>
    <w:rsid w:val="000E13D0"/>
    <w:rsid w:val="000E41D0"/>
    <w:rsid w:val="000E43EB"/>
    <w:rsid w:val="000E4844"/>
    <w:rsid w:val="000E624D"/>
    <w:rsid w:val="000E6E4B"/>
    <w:rsid w:val="000F0C96"/>
    <w:rsid w:val="000F0E6E"/>
    <w:rsid w:val="000F1965"/>
    <w:rsid w:val="000F5AD3"/>
    <w:rsid w:val="000F6AEB"/>
    <w:rsid w:val="000F7605"/>
    <w:rsid w:val="001000AF"/>
    <w:rsid w:val="00100B46"/>
    <w:rsid w:val="001012B6"/>
    <w:rsid w:val="00102C81"/>
    <w:rsid w:val="001031B5"/>
    <w:rsid w:val="00103D60"/>
    <w:rsid w:val="0010421F"/>
    <w:rsid w:val="00105354"/>
    <w:rsid w:val="00105401"/>
    <w:rsid w:val="0010623F"/>
    <w:rsid w:val="00110CC7"/>
    <w:rsid w:val="00110D52"/>
    <w:rsid w:val="00111F32"/>
    <w:rsid w:val="00113749"/>
    <w:rsid w:val="001147CD"/>
    <w:rsid w:val="00114E1C"/>
    <w:rsid w:val="00116CB2"/>
    <w:rsid w:val="00117524"/>
    <w:rsid w:val="00117730"/>
    <w:rsid w:val="00117FE9"/>
    <w:rsid w:val="001208F4"/>
    <w:rsid w:val="00121B4A"/>
    <w:rsid w:val="00121BFD"/>
    <w:rsid w:val="0012306C"/>
    <w:rsid w:val="00123C38"/>
    <w:rsid w:val="00124FA3"/>
    <w:rsid w:val="001250C5"/>
    <w:rsid w:val="001253FB"/>
    <w:rsid w:val="00126BDD"/>
    <w:rsid w:val="00127ADC"/>
    <w:rsid w:val="00133EB8"/>
    <w:rsid w:val="00133EF5"/>
    <w:rsid w:val="00133FF8"/>
    <w:rsid w:val="001366ED"/>
    <w:rsid w:val="00136A54"/>
    <w:rsid w:val="00136C1E"/>
    <w:rsid w:val="001404BF"/>
    <w:rsid w:val="00140C3B"/>
    <w:rsid w:val="00140CE7"/>
    <w:rsid w:val="00141D14"/>
    <w:rsid w:val="001467AA"/>
    <w:rsid w:val="0015077F"/>
    <w:rsid w:val="001514DE"/>
    <w:rsid w:val="00152357"/>
    <w:rsid w:val="0015238D"/>
    <w:rsid w:val="00154932"/>
    <w:rsid w:val="00155E78"/>
    <w:rsid w:val="00155FCB"/>
    <w:rsid w:val="0016073F"/>
    <w:rsid w:val="00160F9B"/>
    <w:rsid w:val="001633DD"/>
    <w:rsid w:val="00163929"/>
    <w:rsid w:val="00164C48"/>
    <w:rsid w:val="00165F25"/>
    <w:rsid w:val="0016609E"/>
    <w:rsid w:val="001716D9"/>
    <w:rsid w:val="0017218E"/>
    <w:rsid w:val="001722DF"/>
    <w:rsid w:val="0017310B"/>
    <w:rsid w:val="00173258"/>
    <w:rsid w:val="001747EB"/>
    <w:rsid w:val="001757BC"/>
    <w:rsid w:val="001764D5"/>
    <w:rsid w:val="00177539"/>
    <w:rsid w:val="00180436"/>
    <w:rsid w:val="00180D2D"/>
    <w:rsid w:val="0018109C"/>
    <w:rsid w:val="0018137C"/>
    <w:rsid w:val="0018190E"/>
    <w:rsid w:val="00183BBE"/>
    <w:rsid w:val="001843B7"/>
    <w:rsid w:val="001850D3"/>
    <w:rsid w:val="001863D2"/>
    <w:rsid w:val="001909C9"/>
    <w:rsid w:val="00191799"/>
    <w:rsid w:val="0019244B"/>
    <w:rsid w:val="00193943"/>
    <w:rsid w:val="0019426A"/>
    <w:rsid w:val="001A2111"/>
    <w:rsid w:val="001A3982"/>
    <w:rsid w:val="001A3C38"/>
    <w:rsid w:val="001A50F8"/>
    <w:rsid w:val="001A5831"/>
    <w:rsid w:val="001A5E81"/>
    <w:rsid w:val="001A5FCE"/>
    <w:rsid w:val="001A6821"/>
    <w:rsid w:val="001B367C"/>
    <w:rsid w:val="001B3FE9"/>
    <w:rsid w:val="001B6FFC"/>
    <w:rsid w:val="001C0674"/>
    <w:rsid w:val="001C2C99"/>
    <w:rsid w:val="001C4198"/>
    <w:rsid w:val="001C41A7"/>
    <w:rsid w:val="001C5327"/>
    <w:rsid w:val="001C59EB"/>
    <w:rsid w:val="001C6BCB"/>
    <w:rsid w:val="001C7329"/>
    <w:rsid w:val="001D17B8"/>
    <w:rsid w:val="001D1BDB"/>
    <w:rsid w:val="001D2105"/>
    <w:rsid w:val="001D287C"/>
    <w:rsid w:val="001D3FFE"/>
    <w:rsid w:val="001D43E8"/>
    <w:rsid w:val="001E07C2"/>
    <w:rsid w:val="001E100A"/>
    <w:rsid w:val="001E2931"/>
    <w:rsid w:val="001E5558"/>
    <w:rsid w:val="001E7194"/>
    <w:rsid w:val="001F0C5C"/>
    <w:rsid w:val="001F23AE"/>
    <w:rsid w:val="001F2B22"/>
    <w:rsid w:val="001F4508"/>
    <w:rsid w:val="001F450B"/>
    <w:rsid w:val="001F5011"/>
    <w:rsid w:val="001F66D1"/>
    <w:rsid w:val="001F7230"/>
    <w:rsid w:val="001F72C2"/>
    <w:rsid w:val="00201343"/>
    <w:rsid w:val="00202640"/>
    <w:rsid w:val="002026E3"/>
    <w:rsid w:val="00203F83"/>
    <w:rsid w:val="002059E6"/>
    <w:rsid w:val="00205A34"/>
    <w:rsid w:val="00207242"/>
    <w:rsid w:val="00211869"/>
    <w:rsid w:val="00211B8A"/>
    <w:rsid w:val="00212179"/>
    <w:rsid w:val="002134C8"/>
    <w:rsid w:val="0021584F"/>
    <w:rsid w:val="00216F7C"/>
    <w:rsid w:val="00220594"/>
    <w:rsid w:val="002207BD"/>
    <w:rsid w:val="002238DF"/>
    <w:rsid w:val="002254AA"/>
    <w:rsid w:val="00226D8C"/>
    <w:rsid w:val="00230C2A"/>
    <w:rsid w:val="00231590"/>
    <w:rsid w:val="00235E7E"/>
    <w:rsid w:val="00242D6F"/>
    <w:rsid w:val="00243184"/>
    <w:rsid w:val="0024369C"/>
    <w:rsid w:val="00244DD3"/>
    <w:rsid w:val="002453A3"/>
    <w:rsid w:val="00245867"/>
    <w:rsid w:val="002458B3"/>
    <w:rsid w:val="00245BC3"/>
    <w:rsid w:val="0024769F"/>
    <w:rsid w:val="00251D14"/>
    <w:rsid w:val="00252006"/>
    <w:rsid w:val="00254283"/>
    <w:rsid w:val="00254637"/>
    <w:rsid w:val="00255708"/>
    <w:rsid w:val="00256126"/>
    <w:rsid w:val="00256B79"/>
    <w:rsid w:val="00260158"/>
    <w:rsid w:val="002604EC"/>
    <w:rsid w:val="00262652"/>
    <w:rsid w:val="0026315F"/>
    <w:rsid w:val="00263BA2"/>
    <w:rsid w:val="00265DAA"/>
    <w:rsid w:val="002664DE"/>
    <w:rsid w:val="00270DEF"/>
    <w:rsid w:val="002716F9"/>
    <w:rsid w:val="00273423"/>
    <w:rsid w:val="00273488"/>
    <w:rsid w:val="002735FD"/>
    <w:rsid w:val="00273D23"/>
    <w:rsid w:val="00280C08"/>
    <w:rsid w:val="00281399"/>
    <w:rsid w:val="002828B0"/>
    <w:rsid w:val="00282D16"/>
    <w:rsid w:val="00283053"/>
    <w:rsid w:val="00283EB5"/>
    <w:rsid w:val="00286903"/>
    <w:rsid w:val="00286ECC"/>
    <w:rsid w:val="002916BF"/>
    <w:rsid w:val="00293818"/>
    <w:rsid w:val="002941ED"/>
    <w:rsid w:val="00297A27"/>
    <w:rsid w:val="002A07A3"/>
    <w:rsid w:val="002A0E5C"/>
    <w:rsid w:val="002A11FF"/>
    <w:rsid w:val="002A4151"/>
    <w:rsid w:val="002A5721"/>
    <w:rsid w:val="002A6815"/>
    <w:rsid w:val="002B00CD"/>
    <w:rsid w:val="002B030A"/>
    <w:rsid w:val="002B0BC4"/>
    <w:rsid w:val="002B19D7"/>
    <w:rsid w:val="002B3405"/>
    <w:rsid w:val="002B35B9"/>
    <w:rsid w:val="002B58C5"/>
    <w:rsid w:val="002B6185"/>
    <w:rsid w:val="002C050B"/>
    <w:rsid w:val="002C0539"/>
    <w:rsid w:val="002C06B0"/>
    <w:rsid w:val="002C1778"/>
    <w:rsid w:val="002C246D"/>
    <w:rsid w:val="002C3130"/>
    <w:rsid w:val="002C3EAC"/>
    <w:rsid w:val="002C518E"/>
    <w:rsid w:val="002C69B1"/>
    <w:rsid w:val="002C7AA5"/>
    <w:rsid w:val="002D1F04"/>
    <w:rsid w:val="002D1F2A"/>
    <w:rsid w:val="002D28AD"/>
    <w:rsid w:val="002D3444"/>
    <w:rsid w:val="002D4BDC"/>
    <w:rsid w:val="002D5157"/>
    <w:rsid w:val="002D54BF"/>
    <w:rsid w:val="002D76F5"/>
    <w:rsid w:val="002D78D7"/>
    <w:rsid w:val="002D78DB"/>
    <w:rsid w:val="002E1AA8"/>
    <w:rsid w:val="002E1D2F"/>
    <w:rsid w:val="002E44BD"/>
    <w:rsid w:val="002E5D96"/>
    <w:rsid w:val="002E6181"/>
    <w:rsid w:val="002E669E"/>
    <w:rsid w:val="002E701A"/>
    <w:rsid w:val="002E7799"/>
    <w:rsid w:val="002E7CFC"/>
    <w:rsid w:val="002F0DCD"/>
    <w:rsid w:val="002F4B9B"/>
    <w:rsid w:val="002F6743"/>
    <w:rsid w:val="002F735B"/>
    <w:rsid w:val="0030049E"/>
    <w:rsid w:val="00302358"/>
    <w:rsid w:val="00302544"/>
    <w:rsid w:val="00302D41"/>
    <w:rsid w:val="003036F2"/>
    <w:rsid w:val="00303902"/>
    <w:rsid w:val="00305EA6"/>
    <w:rsid w:val="0030611F"/>
    <w:rsid w:val="0030643E"/>
    <w:rsid w:val="0030677C"/>
    <w:rsid w:val="003068D1"/>
    <w:rsid w:val="0030776B"/>
    <w:rsid w:val="00310507"/>
    <w:rsid w:val="00310BB8"/>
    <w:rsid w:val="00313328"/>
    <w:rsid w:val="00313466"/>
    <w:rsid w:val="00315604"/>
    <w:rsid w:val="00315652"/>
    <w:rsid w:val="00315892"/>
    <w:rsid w:val="00317323"/>
    <w:rsid w:val="00321456"/>
    <w:rsid w:val="00322DF5"/>
    <w:rsid w:val="00322F99"/>
    <w:rsid w:val="003251B6"/>
    <w:rsid w:val="0032748E"/>
    <w:rsid w:val="00327AE4"/>
    <w:rsid w:val="00327DC1"/>
    <w:rsid w:val="00330FD0"/>
    <w:rsid w:val="003315D8"/>
    <w:rsid w:val="0033248A"/>
    <w:rsid w:val="00332964"/>
    <w:rsid w:val="0033574B"/>
    <w:rsid w:val="00335E66"/>
    <w:rsid w:val="00340C01"/>
    <w:rsid w:val="003419EF"/>
    <w:rsid w:val="003423AC"/>
    <w:rsid w:val="0035100B"/>
    <w:rsid w:val="0036033D"/>
    <w:rsid w:val="00360A28"/>
    <w:rsid w:val="00360ED2"/>
    <w:rsid w:val="003621C9"/>
    <w:rsid w:val="00364348"/>
    <w:rsid w:val="0036456F"/>
    <w:rsid w:val="0036768F"/>
    <w:rsid w:val="003708AE"/>
    <w:rsid w:val="003709EA"/>
    <w:rsid w:val="00372302"/>
    <w:rsid w:val="0037335C"/>
    <w:rsid w:val="00374A0A"/>
    <w:rsid w:val="003756CA"/>
    <w:rsid w:val="00376EA8"/>
    <w:rsid w:val="0038034E"/>
    <w:rsid w:val="00380C46"/>
    <w:rsid w:val="00381496"/>
    <w:rsid w:val="0038268F"/>
    <w:rsid w:val="00382ACF"/>
    <w:rsid w:val="0038369E"/>
    <w:rsid w:val="00383C53"/>
    <w:rsid w:val="0038507D"/>
    <w:rsid w:val="00386C81"/>
    <w:rsid w:val="00387A50"/>
    <w:rsid w:val="00387DEC"/>
    <w:rsid w:val="0039277D"/>
    <w:rsid w:val="003937AB"/>
    <w:rsid w:val="00393C7C"/>
    <w:rsid w:val="00394A66"/>
    <w:rsid w:val="00395C8A"/>
    <w:rsid w:val="003962C4"/>
    <w:rsid w:val="003A0970"/>
    <w:rsid w:val="003A1CBE"/>
    <w:rsid w:val="003A2A77"/>
    <w:rsid w:val="003A459B"/>
    <w:rsid w:val="003A62A7"/>
    <w:rsid w:val="003B098A"/>
    <w:rsid w:val="003B1ECA"/>
    <w:rsid w:val="003B44F5"/>
    <w:rsid w:val="003B5820"/>
    <w:rsid w:val="003B68E0"/>
    <w:rsid w:val="003B68ED"/>
    <w:rsid w:val="003B6DE6"/>
    <w:rsid w:val="003B70C8"/>
    <w:rsid w:val="003B7AAF"/>
    <w:rsid w:val="003C0761"/>
    <w:rsid w:val="003C15A5"/>
    <w:rsid w:val="003C4621"/>
    <w:rsid w:val="003C4DF3"/>
    <w:rsid w:val="003C5A02"/>
    <w:rsid w:val="003C781F"/>
    <w:rsid w:val="003D0A6A"/>
    <w:rsid w:val="003D3B1F"/>
    <w:rsid w:val="003D6BCD"/>
    <w:rsid w:val="003E2315"/>
    <w:rsid w:val="003E4B82"/>
    <w:rsid w:val="003E57AF"/>
    <w:rsid w:val="003E6156"/>
    <w:rsid w:val="003E6CD4"/>
    <w:rsid w:val="003E6DC3"/>
    <w:rsid w:val="003E7157"/>
    <w:rsid w:val="003F24A1"/>
    <w:rsid w:val="003F3A80"/>
    <w:rsid w:val="003F4B12"/>
    <w:rsid w:val="003F5F11"/>
    <w:rsid w:val="003F7A7E"/>
    <w:rsid w:val="003F7EE6"/>
    <w:rsid w:val="00403309"/>
    <w:rsid w:val="004060C0"/>
    <w:rsid w:val="00406E31"/>
    <w:rsid w:val="00411419"/>
    <w:rsid w:val="0041197E"/>
    <w:rsid w:val="00411B1B"/>
    <w:rsid w:val="00411BFC"/>
    <w:rsid w:val="004141DE"/>
    <w:rsid w:val="004204F0"/>
    <w:rsid w:val="0042169F"/>
    <w:rsid w:val="004221FE"/>
    <w:rsid w:val="0042243B"/>
    <w:rsid w:val="004235FE"/>
    <w:rsid w:val="00424A58"/>
    <w:rsid w:val="00425998"/>
    <w:rsid w:val="00426A33"/>
    <w:rsid w:val="00430A7E"/>
    <w:rsid w:val="00432220"/>
    <w:rsid w:val="00433A2E"/>
    <w:rsid w:val="00434285"/>
    <w:rsid w:val="004357CB"/>
    <w:rsid w:val="0043658A"/>
    <w:rsid w:val="0043691B"/>
    <w:rsid w:val="00437464"/>
    <w:rsid w:val="004378E6"/>
    <w:rsid w:val="00437B4A"/>
    <w:rsid w:val="00443E4C"/>
    <w:rsid w:val="0044500C"/>
    <w:rsid w:val="0044771B"/>
    <w:rsid w:val="0045431A"/>
    <w:rsid w:val="00454643"/>
    <w:rsid w:val="00457B11"/>
    <w:rsid w:val="004610FC"/>
    <w:rsid w:val="00461FD9"/>
    <w:rsid w:val="00462586"/>
    <w:rsid w:val="00463C30"/>
    <w:rsid w:val="00464D1C"/>
    <w:rsid w:val="0046690C"/>
    <w:rsid w:val="0046779E"/>
    <w:rsid w:val="004702B0"/>
    <w:rsid w:val="00473443"/>
    <w:rsid w:val="00473E95"/>
    <w:rsid w:val="0047571F"/>
    <w:rsid w:val="004757D3"/>
    <w:rsid w:val="00475907"/>
    <w:rsid w:val="00477419"/>
    <w:rsid w:val="004807F4"/>
    <w:rsid w:val="00481E93"/>
    <w:rsid w:val="00482DFA"/>
    <w:rsid w:val="00484FF4"/>
    <w:rsid w:val="00486B5B"/>
    <w:rsid w:val="00487782"/>
    <w:rsid w:val="0049007E"/>
    <w:rsid w:val="00490ED7"/>
    <w:rsid w:val="004917FE"/>
    <w:rsid w:val="00491C1F"/>
    <w:rsid w:val="00494A50"/>
    <w:rsid w:val="004961A2"/>
    <w:rsid w:val="00496F00"/>
    <w:rsid w:val="004A0B0D"/>
    <w:rsid w:val="004A32FD"/>
    <w:rsid w:val="004A74CD"/>
    <w:rsid w:val="004A78E1"/>
    <w:rsid w:val="004B14DD"/>
    <w:rsid w:val="004B340C"/>
    <w:rsid w:val="004B7F8C"/>
    <w:rsid w:val="004C03FC"/>
    <w:rsid w:val="004C17E9"/>
    <w:rsid w:val="004C317E"/>
    <w:rsid w:val="004C3841"/>
    <w:rsid w:val="004C3A93"/>
    <w:rsid w:val="004C3E7D"/>
    <w:rsid w:val="004C469F"/>
    <w:rsid w:val="004C525A"/>
    <w:rsid w:val="004C6AA8"/>
    <w:rsid w:val="004C7A76"/>
    <w:rsid w:val="004D197B"/>
    <w:rsid w:val="004D3B16"/>
    <w:rsid w:val="004D3D0C"/>
    <w:rsid w:val="004D5068"/>
    <w:rsid w:val="004D5144"/>
    <w:rsid w:val="004D5F91"/>
    <w:rsid w:val="004D5FEF"/>
    <w:rsid w:val="004D67BB"/>
    <w:rsid w:val="004E0D7A"/>
    <w:rsid w:val="004E1853"/>
    <w:rsid w:val="004E34A6"/>
    <w:rsid w:val="004E3C31"/>
    <w:rsid w:val="004E3E3A"/>
    <w:rsid w:val="004E422B"/>
    <w:rsid w:val="004E49F1"/>
    <w:rsid w:val="004E4AAA"/>
    <w:rsid w:val="004E68F7"/>
    <w:rsid w:val="004E6992"/>
    <w:rsid w:val="004F35D3"/>
    <w:rsid w:val="004F3D0F"/>
    <w:rsid w:val="004F5393"/>
    <w:rsid w:val="004F5C0E"/>
    <w:rsid w:val="004F7BF1"/>
    <w:rsid w:val="00504005"/>
    <w:rsid w:val="0050442E"/>
    <w:rsid w:val="00504955"/>
    <w:rsid w:val="00506F18"/>
    <w:rsid w:val="00506F9C"/>
    <w:rsid w:val="00512907"/>
    <w:rsid w:val="00513A36"/>
    <w:rsid w:val="00514154"/>
    <w:rsid w:val="0051427F"/>
    <w:rsid w:val="00514375"/>
    <w:rsid w:val="005154B3"/>
    <w:rsid w:val="005156A9"/>
    <w:rsid w:val="00515D9C"/>
    <w:rsid w:val="0051753E"/>
    <w:rsid w:val="00517619"/>
    <w:rsid w:val="00517689"/>
    <w:rsid w:val="005201C0"/>
    <w:rsid w:val="005205F1"/>
    <w:rsid w:val="00520C42"/>
    <w:rsid w:val="005226CA"/>
    <w:rsid w:val="00523023"/>
    <w:rsid w:val="005243BD"/>
    <w:rsid w:val="00527F88"/>
    <w:rsid w:val="0053055E"/>
    <w:rsid w:val="00531B0D"/>
    <w:rsid w:val="00532399"/>
    <w:rsid w:val="00535F7B"/>
    <w:rsid w:val="0053684A"/>
    <w:rsid w:val="00537A3B"/>
    <w:rsid w:val="00540C0B"/>
    <w:rsid w:val="00540DEC"/>
    <w:rsid w:val="00542B5D"/>
    <w:rsid w:val="00542F09"/>
    <w:rsid w:val="005438E6"/>
    <w:rsid w:val="00544924"/>
    <w:rsid w:val="005453B9"/>
    <w:rsid w:val="0054594D"/>
    <w:rsid w:val="00545950"/>
    <w:rsid w:val="005504C4"/>
    <w:rsid w:val="005510F2"/>
    <w:rsid w:val="00551C88"/>
    <w:rsid w:val="005526C6"/>
    <w:rsid w:val="005531D5"/>
    <w:rsid w:val="0055428F"/>
    <w:rsid w:val="00554570"/>
    <w:rsid w:val="00554F00"/>
    <w:rsid w:val="005552CF"/>
    <w:rsid w:val="005571F2"/>
    <w:rsid w:val="0056220C"/>
    <w:rsid w:val="005624EF"/>
    <w:rsid w:val="0056288C"/>
    <w:rsid w:val="00563E8F"/>
    <w:rsid w:val="005649B6"/>
    <w:rsid w:val="005674FB"/>
    <w:rsid w:val="005709E7"/>
    <w:rsid w:val="00570CD1"/>
    <w:rsid w:val="00575C71"/>
    <w:rsid w:val="00576015"/>
    <w:rsid w:val="00576477"/>
    <w:rsid w:val="00577BDD"/>
    <w:rsid w:val="00580B7B"/>
    <w:rsid w:val="0058123E"/>
    <w:rsid w:val="00581E82"/>
    <w:rsid w:val="00583AC7"/>
    <w:rsid w:val="00583FA6"/>
    <w:rsid w:val="00584690"/>
    <w:rsid w:val="00587E02"/>
    <w:rsid w:val="0059175F"/>
    <w:rsid w:val="0059303A"/>
    <w:rsid w:val="0059388F"/>
    <w:rsid w:val="00597492"/>
    <w:rsid w:val="005A1346"/>
    <w:rsid w:val="005A1703"/>
    <w:rsid w:val="005A1B9D"/>
    <w:rsid w:val="005A2FFC"/>
    <w:rsid w:val="005A4BE5"/>
    <w:rsid w:val="005A5FB3"/>
    <w:rsid w:val="005A65AB"/>
    <w:rsid w:val="005B124B"/>
    <w:rsid w:val="005B268C"/>
    <w:rsid w:val="005B4B76"/>
    <w:rsid w:val="005B4DBE"/>
    <w:rsid w:val="005B638E"/>
    <w:rsid w:val="005B6443"/>
    <w:rsid w:val="005B76C0"/>
    <w:rsid w:val="005C092A"/>
    <w:rsid w:val="005C1F04"/>
    <w:rsid w:val="005C2688"/>
    <w:rsid w:val="005C3112"/>
    <w:rsid w:val="005C4124"/>
    <w:rsid w:val="005C47FE"/>
    <w:rsid w:val="005C4C15"/>
    <w:rsid w:val="005C75B5"/>
    <w:rsid w:val="005D0425"/>
    <w:rsid w:val="005D137A"/>
    <w:rsid w:val="005D4FED"/>
    <w:rsid w:val="005D55C0"/>
    <w:rsid w:val="005D5FE0"/>
    <w:rsid w:val="005D6316"/>
    <w:rsid w:val="005D7E45"/>
    <w:rsid w:val="005E213A"/>
    <w:rsid w:val="005E2E6E"/>
    <w:rsid w:val="005E4825"/>
    <w:rsid w:val="005E56A0"/>
    <w:rsid w:val="005E681F"/>
    <w:rsid w:val="005E7503"/>
    <w:rsid w:val="005E7DBA"/>
    <w:rsid w:val="005F31A4"/>
    <w:rsid w:val="005F32BC"/>
    <w:rsid w:val="005F3607"/>
    <w:rsid w:val="005F3E0B"/>
    <w:rsid w:val="005F50DF"/>
    <w:rsid w:val="005F5AFE"/>
    <w:rsid w:val="005F7BB6"/>
    <w:rsid w:val="005F7C68"/>
    <w:rsid w:val="005F7C9F"/>
    <w:rsid w:val="006015BC"/>
    <w:rsid w:val="00602C5E"/>
    <w:rsid w:val="0060303B"/>
    <w:rsid w:val="00603AF4"/>
    <w:rsid w:val="006049F9"/>
    <w:rsid w:val="00605C19"/>
    <w:rsid w:val="0060760F"/>
    <w:rsid w:val="00607DBB"/>
    <w:rsid w:val="00607EE0"/>
    <w:rsid w:val="00611BB8"/>
    <w:rsid w:val="006127F2"/>
    <w:rsid w:val="00613060"/>
    <w:rsid w:val="00613581"/>
    <w:rsid w:val="006173AE"/>
    <w:rsid w:val="00617464"/>
    <w:rsid w:val="00617EB6"/>
    <w:rsid w:val="00623F7E"/>
    <w:rsid w:val="00627B9F"/>
    <w:rsid w:val="00627FC5"/>
    <w:rsid w:val="00630B35"/>
    <w:rsid w:val="00632D6E"/>
    <w:rsid w:val="00635CD1"/>
    <w:rsid w:val="006364B7"/>
    <w:rsid w:val="006367D1"/>
    <w:rsid w:val="00636B08"/>
    <w:rsid w:val="0064043F"/>
    <w:rsid w:val="00640556"/>
    <w:rsid w:val="00640B04"/>
    <w:rsid w:val="00642180"/>
    <w:rsid w:val="00642232"/>
    <w:rsid w:val="00644EB1"/>
    <w:rsid w:val="00645FED"/>
    <w:rsid w:val="006465E2"/>
    <w:rsid w:val="0064669A"/>
    <w:rsid w:val="00647060"/>
    <w:rsid w:val="006474BB"/>
    <w:rsid w:val="00650740"/>
    <w:rsid w:val="00650EC9"/>
    <w:rsid w:val="00650EF9"/>
    <w:rsid w:val="006522B3"/>
    <w:rsid w:val="006523FA"/>
    <w:rsid w:val="00654198"/>
    <w:rsid w:val="00657746"/>
    <w:rsid w:val="00665508"/>
    <w:rsid w:val="00665BAB"/>
    <w:rsid w:val="00666A2A"/>
    <w:rsid w:val="00666FCD"/>
    <w:rsid w:val="006716FF"/>
    <w:rsid w:val="006734F7"/>
    <w:rsid w:val="00673BC7"/>
    <w:rsid w:val="00680AE6"/>
    <w:rsid w:val="006815E3"/>
    <w:rsid w:val="00682021"/>
    <w:rsid w:val="00683E7D"/>
    <w:rsid w:val="006841DA"/>
    <w:rsid w:val="006859E9"/>
    <w:rsid w:val="00686521"/>
    <w:rsid w:val="00692C25"/>
    <w:rsid w:val="00692CC7"/>
    <w:rsid w:val="00693AD9"/>
    <w:rsid w:val="00693E57"/>
    <w:rsid w:val="00694205"/>
    <w:rsid w:val="0069457F"/>
    <w:rsid w:val="00694FF8"/>
    <w:rsid w:val="0069610A"/>
    <w:rsid w:val="00696CBC"/>
    <w:rsid w:val="00697020"/>
    <w:rsid w:val="006A0599"/>
    <w:rsid w:val="006A33BB"/>
    <w:rsid w:val="006A3997"/>
    <w:rsid w:val="006A40EA"/>
    <w:rsid w:val="006A4CAC"/>
    <w:rsid w:val="006B0BF1"/>
    <w:rsid w:val="006B5E36"/>
    <w:rsid w:val="006B7F4C"/>
    <w:rsid w:val="006C04FA"/>
    <w:rsid w:val="006C05A0"/>
    <w:rsid w:val="006C2824"/>
    <w:rsid w:val="006C29EF"/>
    <w:rsid w:val="006C3A8C"/>
    <w:rsid w:val="006C4C4F"/>
    <w:rsid w:val="006C56A7"/>
    <w:rsid w:val="006C7178"/>
    <w:rsid w:val="006D0E64"/>
    <w:rsid w:val="006D17E3"/>
    <w:rsid w:val="006D1897"/>
    <w:rsid w:val="006D2A75"/>
    <w:rsid w:val="006D36F6"/>
    <w:rsid w:val="006D5017"/>
    <w:rsid w:val="006D53F7"/>
    <w:rsid w:val="006D581F"/>
    <w:rsid w:val="006D5CAA"/>
    <w:rsid w:val="006D6236"/>
    <w:rsid w:val="006E18A8"/>
    <w:rsid w:val="006E1D60"/>
    <w:rsid w:val="006E2D6C"/>
    <w:rsid w:val="006E404D"/>
    <w:rsid w:val="006F0131"/>
    <w:rsid w:val="006F2070"/>
    <w:rsid w:val="006F266C"/>
    <w:rsid w:val="006F3E67"/>
    <w:rsid w:val="006F4DE8"/>
    <w:rsid w:val="006F781F"/>
    <w:rsid w:val="006F7F03"/>
    <w:rsid w:val="006F7FF5"/>
    <w:rsid w:val="0070206B"/>
    <w:rsid w:val="00703919"/>
    <w:rsid w:val="00705247"/>
    <w:rsid w:val="007071F5"/>
    <w:rsid w:val="007078EE"/>
    <w:rsid w:val="007115EF"/>
    <w:rsid w:val="00714A2F"/>
    <w:rsid w:val="00714A7B"/>
    <w:rsid w:val="00716E9F"/>
    <w:rsid w:val="00716F1A"/>
    <w:rsid w:val="0072030B"/>
    <w:rsid w:val="00721F04"/>
    <w:rsid w:val="0072256E"/>
    <w:rsid w:val="00722BE7"/>
    <w:rsid w:val="00725333"/>
    <w:rsid w:val="00726835"/>
    <w:rsid w:val="0072691B"/>
    <w:rsid w:val="0072733D"/>
    <w:rsid w:val="007323E8"/>
    <w:rsid w:val="0073380E"/>
    <w:rsid w:val="00734605"/>
    <w:rsid w:val="00734D35"/>
    <w:rsid w:val="007351CB"/>
    <w:rsid w:val="007357B4"/>
    <w:rsid w:val="00735CCF"/>
    <w:rsid w:val="00735D09"/>
    <w:rsid w:val="007365F6"/>
    <w:rsid w:val="00740053"/>
    <w:rsid w:val="0074141A"/>
    <w:rsid w:val="00742D31"/>
    <w:rsid w:val="00743A19"/>
    <w:rsid w:val="00745687"/>
    <w:rsid w:val="00745A0C"/>
    <w:rsid w:val="00746FCD"/>
    <w:rsid w:val="00750F24"/>
    <w:rsid w:val="0075161D"/>
    <w:rsid w:val="007532EE"/>
    <w:rsid w:val="00753BAD"/>
    <w:rsid w:val="007544BF"/>
    <w:rsid w:val="00755030"/>
    <w:rsid w:val="00760338"/>
    <w:rsid w:val="007603BB"/>
    <w:rsid w:val="007606C0"/>
    <w:rsid w:val="007619E8"/>
    <w:rsid w:val="0076299D"/>
    <w:rsid w:val="00764539"/>
    <w:rsid w:val="0076679D"/>
    <w:rsid w:val="00767C76"/>
    <w:rsid w:val="00770F33"/>
    <w:rsid w:val="00770FAC"/>
    <w:rsid w:val="00771F37"/>
    <w:rsid w:val="00772485"/>
    <w:rsid w:val="00773984"/>
    <w:rsid w:val="00773B92"/>
    <w:rsid w:val="0077432C"/>
    <w:rsid w:val="00775DAD"/>
    <w:rsid w:val="00776ABA"/>
    <w:rsid w:val="00780DE4"/>
    <w:rsid w:val="0078171A"/>
    <w:rsid w:val="00783016"/>
    <w:rsid w:val="00786ABB"/>
    <w:rsid w:val="0078752D"/>
    <w:rsid w:val="0079005B"/>
    <w:rsid w:val="0079088A"/>
    <w:rsid w:val="00790E2F"/>
    <w:rsid w:val="00791383"/>
    <w:rsid w:val="00793FC1"/>
    <w:rsid w:val="00796927"/>
    <w:rsid w:val="007A0177"/>
    <w:rsid w:val="007A0DD0"/>
    <w:rsid w:val="007A1989"/>
    <w:rsid w:val="007A1DD4"/>
    <w:rsid w:val="007A4CD2"/>
    <w:rsid w:val="007A4FEA"/>
    <w:rsid w:val="007A6F88"/>
    <w:rsid w:val="007A77E1"/>
    <w:rsid w:val="007A78DC"/>
    <w:rsid w:val="007B0695"/>
    <w:rsid w:val="007B1728"/>
    <w:rsid w:val="007B3930"/>
    <w:rsid w:val="007B3FD7"/>
    <w:rsid w:val="007B43E9"/>
    <w:rsid w:val="007B5490"/>
    <w:rsid w:val="007B6847"/>
    <w:rsid w:val="007B7319"/>
    <w:rsid w:val="007B7B3F"/>
    <w:rsid w:val="007C0203"/>
    <w:rsid w:val="007C0CF3"/>
    <w:rsid w:val="007C1ADA"/>
    <w:rsid w:val="007C39E2"/>
    <w:rsid w:val="007C402D"/>
    <w:rsid w:val="007C5C46"/>
    <w:rsid w:val="007C691C"/>
    <w:rsid w:val="007C69F5"/>
    <w:rsid w:val="007C79C6"/>
    <w:rsid w:val="007D0614"/>
    <w:rsid w:val="007D10E5"/>
    <w:rsid w:val="007D1C49"/>
    <w:rsid w:val="007D3394"/>
    <w:rsid w:val="007D389D"/>
    <w:rsid w:val="007D57DD"/>
    <w:rsid w:val="007D5C96"/>
    <w:rsid w:val="007D66A4"/>
    <w:rsid w:val="007D6F11"/>
    <w:rsid w:val="007E2532"/>
    <w:rsid w:val="007E63AF"/>
    <w:rsid w:val="007E67CE"/>
    <w:rsid w:val="007E6A2F"/>
    <w:rsid w:val="007F3A11"/>
    <w:rsid w:val="007F4579"/>
    <w:rsid w:val="007F5489"/>
    <w:rsid w:val="007F6F91"/>
    <w:rsid w:val="00800185"/>
    <w:rsid w:val="00800C9F"/>
    <w:rsid w:val="00802986"/>
    <w:rsid w:val="00802C30"/>
    <w:rsid w:val="00802DC9"/>
    <w:rsid w:val="00803B16"/>
    <w:rsid w:val="00804037"/>
    <w:rsid w:val="00806603"/>
    <w:rsid w:val="008108F0"/>
    <w:rsid w:val="00810A0C"/>
    <w:rsid w:val="0081114D"/>
    <w:rsid w:val="00811EF5"/>
    <w:rsid w:val="00812861"/>
    <w:rsid w:val="00813E0E"/>
    <w:rsid w:val="00815746"/>
    <w:rsid w:val="008158D9"/>
    <w:rsid w:val="00816636"/>
    <w:rsid w:val="008166FF"/>
    <w:rsid w:val="008175A0"/>
    <w:rsid w:val="00817617"/>
    <w:rsid w:val="00820997"/>
    <w:rsid w:val="008220D3"/>
    <w:rsid w:val="008232A7"/>
    <w:rsid w:val="008252D9"/>
    <w:rsid w:val="008259B1"/>
    <w:rsid w:val="00825BE0"/>
    <w:rsid w:val="00825EFC"/>
    <w:rsid w:val="00826009"/>
    <w:rsid w:val="00826EF4"/>
    <w:rsid w:val="00827650"/>
    <w:rsid w:val="0082785B"/>
    <w:rsid w:val="00830E48"/>
    <w:rsid w:val="00834F87"/>
    <w:rsid w:val="00836B64"/>
    <w:rsid w:val="008370DA"/>
    <w:rsid w:val="00840285"/>
    <w:rsid w:val="00841D9A"/>
    <w:rsid w:val="00843D4F"/>
    <w:rsid w:val="00843D7D"/>
    <w:rsid w:val="00847C34"/>
    <w:rsid w:val="00847D34"/>
    <w:rsid w:val="0085208A"/>
    <w:rsid w:val="00853068"/>
    <w:rsid w:val="008534A6"/>
    <w:rsid w:val="00853B72"/>
    <w:rsid w:val="00853CA9"/>
    <w:rsid w:val="00854880"/>
    <w:rsid w:val="00854900"/>
    <w:rsid w:val="00855049"/>
    <w:rsid w:val="008571D8"/>
    <w:rsid w:val="0086137E"/>
    <w:rsid w:val="008656B8"/>
    <w:rsid w:val="00865BAE"/>
    <w:rsid w:val="0086681B"/>
    <w:rsid w:val="00866BC8"/>
    <w:rsid w:val="00870949"/>
    <w:rsid w:val="00871CC3"/>
    <w:rsid w:val="008743A9"/>
    <w:rsid w:val="00875D12"/>
    <w:rsid w:val="00877BF7"/>
    <w:rsid w:val="00880DA7"/>
    <w:rsid w:val="008833E6"/>
    <w:rsid w:val="00885221"/>
    <w:rsid w:val="008864E5"/>
    <w:rsid w:val="00887767"/>
    <w:rsid w:val="00890613"/>
    <w:rsid w:val="0089107D"/>
    <w:rsid w:val="0089142C"/>
    <w:rsid w:val="00891B53"/>
    <w:rsid w:val="00892C61"/>
    <w:rsid w:val="008A0175"/>
    <w:rsid w:val="008A23B4"/>
    <w:rsid w:val="008A3346"/>
    <w:rsid w:val="008A3AE6"/>
    <w:rsid w:val="008A45BB"/>
    <w:rsid w:val="008A47B6"/>
    <w:rsid w:val="008A578B"/>
    <w:rsid w:val="008A5803"/>
    <w:rsid w:val="008A65A5"/>
    <w:rsid w:val="008A65F0"/>
    <w:rsid w:val="008A7925"/>
    <w:rsid w:val="008B0FA1"/>
    <w:rsid w:val="008B22F7"/>
    <w:rsid w:val="008B4B61"/>
    <w:rsid w:val="008B583D"/>
    <w:rsid w:val="008B6498"/>
    <w:rsid w:val="008B6945"/>
    <w:rsid w:val="008B76B3"/>
    <w:rsid w:val="008C14F2"/>
    <w:rsid w:val="008C35B8"/>
    <w:rsid w:val="008C4560"/>
    <w:rsid w:val="008C462F"/>
    <w:rsid w:val="008C4707"/>
    <w:rsid w:val="008C4CC3"/>
    <w:rsid w:val="008C5EA5"/>
    <w:rsid w:val="008C6B3B"/>
    <w:rsid w:val="008C7408"/>
    <w:rsid w:val="008C753B"/>
    <w:rsid w:val="008D04D7"/>
    <w:rsid w:val="008D2A57"/>
    <w:rsid w:val="008D45A1"/>
    <w:rsid w:val="008D76C4"/>
    <w:rsid w:val="008E055C"/>
    <w:rsid w:val="008E1AB2"/>
    <w:rsid w:val="008E38B6"/>
    <w:rsid w:val="008E55AD"/>
    <w:rsid w:val="008E61FA"/>
    <w:rsid w:val="008E7420"/>
    <w:rsid w:val="008E7C9B"/>
    <w:rsid w:val="008F2B04"/>
    <w:rsid w:val="008F2F98"/>
    <w:rsid w:val="008F347F"/>
    <w:rsid w:val="008F4DB5"/>
    <w:rsid w:val="008F4EEB"/>
    <w:rsid w:val="008F5BA2"/>
    <w:rsid w:val="008F6274"/>
    <w:rsid w:val="0090047A"/>
    <w:rsid w:val="00900722"/>
    <w:rsid w:val="009018FB"/>
    <w:rsid w:val="00902898"/>
    <w:rsid w:val="00903FF5"/>
    <w:rsid w:val="00904815"/>
    <w:rsid w:val="00904ABE"/>
    <w:rsid w:val="00904C78"/>
    <w:rsid w:val="009058B5"/>
    <w:rsid w:val="00905AA1"/>
    <w:rsid w:val="00905B70"/>
    <w:rsid w:val="00905CD2"/>
    <w:rsid w:val="00906BC5"/>
    <w:rsid w:val="00907F7E"/>
    <w:rsid w:val="00911ED4"/>
    <w:rsid w:val="00913F2C"/>
    <w:rsid w:val="0091420C"/>
    <w:rsid w:val="00914B99"/>
    <w:rsid w:val="00920971"/>
    <w:rsid w:val="00921801"/>
    <w:rsid w:val="009219B7"/>
    <w:rsid w:val="009222EE"/>
    <w:rsid w:val="00922788"/>
    <w:rsid w:val="009230BA"/>
    <w:rsid w:val="00927692"/>
    <w:rsid w:val="009277D1"/>
    <w:rsid w:val="00935E6A"/>
    <w:rsid w:val="00936181"/>
    <w:rsid w:val="0093696F"/>
    <w:rsid w:val="009373B8"/>
    <w:rsid w:val="00937A76"/>
    <w:rsid w:val="009416FA"/>
    <w:rsid w:val="00944D0E"/>
    <w:rsid w:val="00945F86"/>
    <w:rsid w:val="00946BFC"/>
    <w:rsid w:val="009502E1"/>
    <w:rsid w:val="009509F1"/>
    <w:rsid w:val="00950E98"/>
    <w:rsid w:val="00952142"/>
    <w:rsid w:val="009558F5"/>
    <w:rsid w:val="0095688A"/>
    <w:rsid w:val="00957C92"/>
    <w:rsid w:val="00960B37"/>
    <w:rsid w:val="00965882"/>
    <w:rsid w:val="00966163"/>
    <w:rsid w:val="00966E0A"/>
    <w:rsid w:val="0096708A"/>
    <w:rsid w:val="00967113"/>
    <w:rsid w:val="0097126E"/>
    <w:rsid w:val="00972937"/>
    <w:rsid w:val="00972CC0"/>
    <w:rsid w:val="0097355A"/>
    <w:rsid w:val="009738E8"/>
    <w:rsid w:val="00973D5E"/>
    <w:rsid w:val="009750F2"/>
    <w:rsid w:val="0097611F"/>
    <w:rsid w:val="00976CD2"/>
    <w:rsid w:val="00977701"/>
    <w:rsid w:val="00980C12"/>
    <w:rsid w:val="00981E24"/>
    <w:rsid w:val="00982C9F"/>
    <w:rsid w:val="00982D7C"/>
    <w:rsid w:val="00984231"/>
    <w:rsid w:val="00984698"/>
    <w:rsid w:val="00984ED1"/>
    <w:rsid w:val="00987D85"/>
    <w:rsid w:val="00987F65"/>
    <w:rsid w:val="00990579"/>
    <w:rsid w:val="00993B65"/>
    <w:rsid w:val="009964C5"/>
    <w:rsid w:val="00997090"/>
    <w:rsid w:val="009A1BE7"/>
    <w:rsid w:val="009A28BE"/>
    <w:rsid w:val="009B001E"/>
    <w:rsid w:val="009B207B"/>
    <w:rsid w:val="009B2A71"/>
    <w:rsid w:val="009B5858"/>
    <w:rsid w:val="009B6F97"/>
    <w:rsid w:val="009B6FF9"/>
    <w:rsid w:val="009B73C5"/>
    <w:rsid w:val="009B73EB"/>
    <w:rsid w:val="009C12F8"/>
    <w:rsid w:val="009C19E5"/>
    <w:rsid w:val="009C58E5"/>
    <w:rsid w:val="009D05E3"/>
    <w:rsid w:val="009D0789"/>
    <w:rsid w:val="009D08F2"/>
    <w:rsid w:val="009D127C"/>
    <w:rsid w:val="009D2311"/>
    <w:rsid w:val="009D29AD"/>
    <w:rsid w:val="009D2B52"/>
    <w:rsid w:val="009D5F6E"/>
    <w:rsid w:val="009D6A49"/>
    <w:rsid w:val="009D70D9"/>
    <w:rsid w:val="009E02A1"/>
    <w:rsid w:val="009E152A"/>
    <w:rsid w:val="009E19EA"/>
    <w:rsid w:val="009E4723"/>
    <w:rsid w:val="009E4BCB"/>
    <w:rsid w:val="009E5FC0"/>
    <w:rsid w:val="009E62A4"/>
    <w:rsid w:val="009F02A0"/>
    <w:rsid w:val="009F0330"/>
    <w:rsid w:val="009F04DF"/>
    <w:rsid w:val="009F0789"/>
    <w:rsid w:val="009F119E"/>
    <w:rsid w:val="009F1298"/>
    <w:rsid w:val="009F2ED1"/>
    <w:rsid w:val="009F3293"/>
    <w:rsid w:val="009F3D37"/>
    <w:rsid w:val="009F4439"/>
    <w:rsid w:val="009F4521"/>
    <w:rsid w:val="009F5857"/>
    <w:rsid w:val="009F6123"/>
    <w:rsid w:val="009F6584"/>
    <w:rsid w:val="009F6D12"/>
    <w:rsid w:val="009F7D56"/>
    <w:rsid w:val="00A01F75"/>
    <w:rsid w:val="00A02897"/>
    <w:rsid w:val="00A055BA"/>
    <w:rsid w:val="00A05BBF"/>
    <w:rsid w:val="00A104E4"/>
    <w:rsid w:val="00A109C7"/>
    <w:rsid w:val="00A1317F"/>
    <w:rsid w:val="00A14750"/>
    <w:rsid w:val="00A14E87"/>
    <w:rsid w:val="00A15FFD"/>
    <w:rsid w:val="00A1617C"/>
    <w:rsid w:val="00A1635C"/>
    <w:rsid w:val="00A22A53"/>
    <w:rsid w:val="00A22A93"/>
    <w:rsid w:val="00A23469"/>
    <w:rsid w:val="00A237D5"/>
    <w:rsid w:val="00A26847"/>
    <w:rsid w:val="00A26C19"/>
    <w:rsid w:val="00A270BF"/>
    <w:rsid w:val="00A321FB"/>
    <w:rsid w:val="00A32A54"/>
    <w:rsid w:val="00A34EA3"/>
    <w:rsid w:val="00A34FE1"/>
    <w:rsid w:val="00A3666C"/>
    <w:rsid w:val="00A36EC2"/>
    <w:rsid w:val="00A40E8A"/>
    <w:rsid w:val="00A415F0"/>
    <w:rsid w:val="00A436A2"/>
    <w:rsid w:val="00A468BC"/>
    <w:rsid w:val="00A472D8"/>
    <w:rsid w:val="00A4794A"/>
    <w:rsid w:val="00A503A9"/>
    <w:rsid w:val="00A503C1"/>
    <w:rsid w:val="00A50C90"/>
    <w:rsid w:val="00A51961"/>
    <w:rsid w:val="00A536D1"/>
    <w:rsid w:val="00A53A58"/>
    <w:rsid w:val="00A56070"/>
    <w:rsid w:val="00A57321"/>
    <w:rsid w:val="00A6072B"/>
    <w:rsid w:val="00A611A3"/>
    <w:rsid w:val="00A64887"/>
    <w:rsid w:val="00A661A7"/>
    <w:rsid w:val="00A701F9"/>
    <w:rsid w:val="00A738BA"/>
    <w:rsid w:val="00A74660"/>
    <w:rsid w:val="00A757A9"/>
    <w:rsid w:val="00A777D2"/>
    <w:rsid w:val="00A77BA1"/>
    <w:rsid w:val="00A802A6"/>
    <w:rsid w:val="00A802A9"/>
    <w:rsid w:val="00A81BC3"/>
    <w:rsid w:val="00A83FC9"/>
    <w:rsid w:val="00A84FC0"/>
    <w:rsid w:val="00A925B4"/>
    <w:rsid w:val="00A938FD"/>
    <w:rsid w:val="00A950AF"/>
    <w:rsid w:val="00A95472"/>
    <w:rsid w:val="00A95B41"/>
    <w:rsid w:val="00A97633"/>
    <w:rsid w:val="00A9769B"/>
    <w:rsid w:val="00AA246B"/>
    <w:rsid w:val="00AA424A"/>
    <w:rsid w:val="00AA42E3"/>
    <w:rsid w:val="00AA4667"/>
    <w:rsid w:val="00AA4E94"/>
    <w:rsid w:val="00AA595F"/>
    <w:rsid w:val="00AA5DAA"/>
    <w:rsid w:val="00AA6D10"/>
    <w:rsid w:val="00AB020E"/>
    <w:rsid w:val="00AB0C2D"/>
    <w:rsid w:val="00AB3009"/>
    <w:rsid w:val="00AC2714"/>
    <w:rsid w:val="00AC285D"/>
    <w:rsid w:val="00AC5E4C"/>
    <w:rsid w:val="00AC6435"/>
    <w:rsid w:val="00AC6BFD"/>
    <w:rsid w:val="00AC7EBF"/>
    <w:rsid w:val="00AD0EC6"/>
    <w:rsid w:val="00AD1113"/>
    <w:rsid w:val="00AD2E97"/>
    <w:rsid w:val="00AD41BA"/>
    <w:rsid w:val="00AD5321"/>
    <w:rsid w:val="00AD6957"/>
    <w:rsid w:val="00AD715A"/>
    <w:rsid w:val="00AE1145"/>
    <w:rsid w:val="00AE2415"/>
    <w:rsid w:val="00AE2E72"/>
    <w:rsid w:val="00AE4621"/>
    <w:rsid w:val="00AE660B"/>
    <w:rsid w:val="00AF05BB"/>
    <w:rsid w:val="00AF1651"/>
    <w:rsid w:val="00AF1EE8"/>
    <w:rsid w:val="00AF2228"/>
    <w:rsid w:val="00AF2FE2"/>
    <w:rsid w:val="00AF4B17"/>
    <w:rsid w:val="00AF504B"/>
    <w:rsid w:val="00AF5D4F"/>
    <w:rsid w:val="00AF7C49"/>
    <w:rsid w:val="00B00C1E"/>
    <w:rsid w:val="00B00EF1"/>
    <w:rsid w:val="00B024AD"/>
    <w:rsid w:val="00B03CDA"/>
    <w:rsid w:val="00B040DB"/>
    <w:rsid w:val="00B04E46"/>
    <w:rsid w:val="00B06A38"/>
    <w:rsid w:val="00B12072"/>
    <w:rsid w:val="00B12350"/>
    <w:rsid w:val="00B144F9"/>
    <w:rsid w:val="00B14C64"/>
    <w:rsid w:val="00B16432"/>
    <w:rsid w:val="00B208F3"/>
    <w:rsid w:val="00B20D78"/>
    <w:rsid w:val="00B217BF"/>
    <w:rsid w:val="00B22996"/>
    <w:rsid w:val="00B24A9A"/>
    <w:rsid w:val="00B2542E"/>
    <w:rsid w:val="00B31B3C"/>
    <w:rsid w:val="00B32BCB"/>
    <w:rsid w:val="00B33FCF"/>
    <w:rsid w:val="00B35AB4"/>
    <w:rsid w:val="00B35EBC"/>
    <w:rsid w:val="00B374DF"/>
    <w:rsid w:val="00B37A6A"/>
    <w:rsid w:val="00B41DFE"/>
    <w:rsid w:val="00B42723"/>
    <w:rsid w:val="00B43AE1"/>
    <w:rsid w:val="00B44D13"/>
    <w:rsid w:val="00B455E9"/>
    <w:rsid w:val="00B45CAD"/>
    <w:rsid w:val="00B47770"/>
    <w:rsid w:val="00B47BE5"/>
    <w:rsid w:val="00B47E3D"/>
    <w:rsid w:val="00B5035B"/>
    <w:rsid w:val="00B50369"/>
    <w:rsid w:val="00B51045"/>
    <w:rsid w:val="00B52B58"/>
    <w:rsid w:val="00B52BCF"/>
    <w:rsid w:val="00B5332C"/>
    <w:rsid w:val="00B552AB"/>
    <w:rsid w:val="00B56370"/>
    <w:rsid w:val="00B57028"/>
    <w:rsid w:val="00B57D0F"/>
    <w:rsid w:val="00B60AF7"/>
    <w:rsid w:val="00B60E67"/>
    <w:rsid w:val="00B61742"/>
    <w:rsid w:val="00B65938"/>
    <w:rsid w:val="00B66560"/>
    <w:rsid w:val="00B66ACA"/>
    <w:rsid w:val="00B67429"/>
    <w:rsid w:val="00B67471"/>
    <w:rsid w:val="00B70433"/>
    <w:rsid w:val="00B71FAB"/>
    <w:rsid w:val="00B7451A"/>
    <w:rsid w:val="00B75E07"/>
    <w:rsid w:val="00B76854"/>
    <w:rsid w:val="00B76890"/>
    <w:rsid w:val="00B779BD"/>
    <w:rsid w:val="00B8073E"/>
    <w:rsid w:val="00B80CF8"/>
    <w:rsid w:val="00B83819"/>
    <w:rsid w:val="00B8449A"/>
    <w:rsid w:val="00B87919"/>
    <w:rsid w:val="00B87EC1"/>
    <w:rsid w:val="00B91A00"/>
    <w:rsid w:val="00B93483"/>
    <w:rsid w:val="00B93733"/>
    <w:rsid w:val="00B938D8"/>
    <w:rsid w:val="00B95299"/>
    <w:rsid w:val="00B9534B"/>
    <w:rsid w:val="00B96DE9"/>
    <w:rsid w:val="00B97A9C"/>
    <w:rsid w:val="00BA1B72"/>
    <w:rsid w:val="00BA1F36"/>
    <w:rsid w:val="00BA352A"/>
    <w:rsid w:val="00BA3E78"/>
    <w:rsid w:val="00BA568E"/>
    <w:rsid w:val="00BA6661"/>
    <w:rsid w:val="00BA69B5"/>
    <w:rsid w:val="00BA7EA7"/>
    <w:rsid w:val="00BB01A9"/>
    <w:rsid w:val="00BB05BA"/>
    <w:rsid w:val="00BB1FB5"/>
    <w:rsid w:val="00BB2F14"/>
    <w:rsid w:val="00BB3419"/>
    <w:rsid w:val="00BB4EED"/>
    <w:rsid w:val="00BB5ACD"/>
    <w:rsid w:val="00BB76F9"/>
    <w:rsid w:val="00BC1AC0"/>
    <w:rsid w:val="00BC4081"/>
    <w:rsid w:val="00BC40B8"/>
    <w:rsid w:val="00BC4181"/>
    <w:rsid w:val="00BC44B0"/>
    <w:rsid w:val="00BC4935"/>
    <w:rsid w:val="00BC5E78"/>
    <w:rsid w:val="00BC62C8"/>
    <w:rsid w:val="00BC6C93"/>
    <w:rsid w:val="00BD1D1F"/>
    <w:rsid w:val="00BD6CC0"/>
    <w:rsid w:val="00BE10F1"/>
    <w:rsid w:val="00BE1512"/>
    <w:rsid w:val="00BE24C0"/>
    <w:rsid w:val="00BE36EC"/>
    <w:rsid w:val="00BE6860"/>
    <w:rsid w:val="00BF1D01"/>
    <w:rsid w:val="00BF2A35"/>
    <w:rsid w:val="00BF47CA"/>
    <w:rsid w:val="00C00575"/>
    <w:rsid w:val="00C00F1B"/>
    <w:rsid w:val="00C05856"/>
    <w:rsid w:val="00C058E1"/>
    <w:rsid w:val="00C06F3A"/>
    <w:rsid w:val="00C100CF"/>
    <w:rsid w:val="00C142EF"/>
    <w:rsid w:val="00C16CFC"/>
    <w:rsid w:val="00C1761E"/>
    <w:rsid w:val="00C17B07"/>
    <w:rsid w:val="00C204EF"/>
    <w:rsid w:val="00C2193C"/>
    <w:rsid w:val="00C21FD4"/>
    <w:rsid w:val="00C23377"/>
    <w:rsid w:val="00C234BE"/>
    <w:rsid w:val="00C2483C"/>
    <w:rsid w:val="00C2503F"/>
    <w:rsid w:val="00C267E3"/>
    <w:rsid w:val="00C26AB6"/>
    <w:rsid w:val="00C31C88"/>
    <w:rsid w:val="00C31F5F"/>
    <w:rsid w:val="00C32147"/>
    <w:rsid w:val="00C332F0"/>
    <w:rsid w:val="00C334CD"/>
    <w:rsid w:val="00C33D2B"/>
    <w:rsid w:val="00C35551"/>
    <w:rsid w:val="00C36E11"/>
    <w:rsid w:val="00C3736A"/>
    <w:rsid w:val="00C37A89"/>
    <w:rsid w:val="00C37CC4"/>
    <w:rsid w:val="00C42A35"/>
    <w:rsid w:val="00C43FF8"/>
    <w:rsid w:val="00C44CD0"/>
    <w:rsid w:val="00C45145"/>
    <w:rsid w:val="00C463F0"/>
    <w:rsid w:val="00C464A4"/>
    <w:rsid w:val="00C465A2"/>
    <w:rsid w:val="00C51454"/>
    <w:rsid w:val="00C519BE"/>
    <w:rsid w:val="00C531E9"/>
    <w:rsid w:val="00C5362A"/>
    <w:rsid w:val="00C566AB"/>
    <w:rsid w:val="00C56EA3"/>
    <w:rsid w:val="00C57090"/>
    <w:rsid w:val="00C57753"/>
    <w:rsid w:val="00C63C56"/>
    <w:rsid w:val="00C64059"/>
    <w:rsid w:val="00C65240"/>
    <w:rsid w:val="00C667E7"/>
    <w:rsid w:val="00C7007D"/>
    <w:rsid w:val="00C7478B"/>
    <w:rsid w:val="00C74EFE"/>
    <w:rsid w:val="00C75571"/>
    <w:rsid w:val="00C76786"/>
    <w:rsid w:val="00C81279"/>
    <w:rsid w:val="00C81E8E"/>
    <w:rsid w:val="00C82874"/>
    <w:rsid w:val="00C82921"/>
    <w:rsid w:val="00C82F28"/>
    <w:rsid w:val="00C836B8"/>
    <w:rsid w:val="00C83D31"/>
    <w:rsid w:val="00C8560F"/>
    <w:rsid w:val="00C85E09"/>
    <w:rsid w:val="00C873A3"/>
    <w:rsid w:val="00C913B7"/>
    <w:rsid w:val="00C92855"/>
    <w:rsid w:val="00C92C02"/>
    <w:rsid w:val="00C930ED"/>
    <w:rsid w:val="00C96BAC"/>
    <w:rsid w:val="00C97963"/>
    <w:rsid w:val="00C97996"/>
    <w:rsid w:val="00CA08DF"/>
    <w:rsid w:val="00CA1DA2"/>
    <w:rsid w:val="00CA1F7D"/>
    <w:rsid w:val="00CA34DA"/>
    <w:rsid w:val="00CA4EEE"/>
    <w:rsid w:val="00CA5401"/>
    <w:rsid w:val="00CA54C9"/>
    <w:rsid w:val="00CA6C1F"/>
    <w:rsid w:val="00CA7C1F"/>
    <w:rsid w:val="00CA7EAA"/>
    <w:rsid w:val="00CB0A9D"/>
    <w:rsid w:val="00CB4CFC"/>
    <w:rsid w:val="00CB5EF6"/>
    <w:rsid w:val="00CB64D6"/>
    <w:rsid w:val="00CB788C"/>
    <w:rsid w:val="00CC00B3"/>
    <w:rsid w:val="00CC1D66"/>
    <w:rsid w:val="00CC2513"/>
    <w:rsid w:val="00CC2578"/>
    <w:rsid w:val="00CC3926"/>
    <w:rsid w:val="00CC4F5A"/>
    <w:rsid w:val="00CC5B00"/>
    <w:rsid w:val="00CC63D4"/>
    <w:rsid w:val="00CD0C85"/>
    <w:rsid w:val="00CD2856"/>
    <w:rsid w:val="00CD4631"/>
    <w:rsid w:val="00CD4A7C"/>
    <w:rsid w:val="00CD5DC0"/>
    <w:rsid w:val="00CD7DDD"/>
    <w:rsid w:val="00CE321C"/>
    <w:rsid w:val="00CE3DCF"/>
    <w:rsid w:val="00CE48DD"/>
    <w:rsid w:val="00CE7994"/>
    <w:rsid w:val="00CE7E70"/>
    <w:rsid w:val="00CF0A44"/>
    <w:rsid w:val="00CF1FCF"/>
    <w:rsid w:val="00CF2F77"/>
    <w:rsid w:val="00CF3522"/>
    <w:rsid w:val="00CF4B2E"/>
    <w:rsid w:val="00CF4BCD"/>
    <w:rsid w:val="00CF7516"/>
    <w:rsid w:val="00D02548"/>
    <w:rsid w:val="00D05245"/>
    <w:rsid w:val="00D07A1A"/>
    <w:rsid w:val="00D10283"/>
    <w:rsid w:val="00D10E78"/>
    <w:rsid w:val="00D116C8"/>
    <w:rsid w:val="00D12128"/>
    <w:rsid w:val="00D13365"/>
    <w:rsid w:val="00D16D6C"/>
    <w:rsid w:val="00D1714E"/>
    <w:rsid w:val="00D17234"/>
    <w:rsid w:val="00D2090F"/>
    <w:rsid w:val="00D21FDD"/>
    <w:rsid w:val="00D22124"/>
    <w:rsid w:val="00D242E9"/>
    <w:rsid w:val="00D24404"/>
    <w:rsid w:val="00D25105"/>
    <w:rsid w:val="00D25362"/>
    <w:rsid w:val="00D25CB7"/>
    <w:rsid w:val="00D27FCB"/>
    <w:rsid w:val="00D32965"/>
    <w:rsid w:val="00D35E9C"/>
    <w:rsid w:val="00D36A62"/>
    <w:rsid w:val="00D37402"/>
    <w:rsid w:val="00D37B07"/>
    <w:rsid w:val="00D41064"/>
    <w:rsid w:val="00D4222F"/>
    <w:rsid w:val="00D42419"/>
    <w:rsid w:val="00D437BF"/>
    <w:rsid w:val="00D43F77"/>
    <w:rsid w:val="00D440AD"/>
    <w:rsid w:val="00D443FB"/>
    <w:rsid w:val="00D45109"/>
    <w:rsid w:val="00D4518B"/>
    <w:rsid w:val="00D45B86"/>
    <w:rsid w:val="00D45F23"/>
    <w:rsid w:val="00D47659"/>
    <w:rsid w:val="00D52A2C"/>
    <w:rsid w:val="00D52FE6"/>
    <w:rsid w:val="00D543DE"/>
    <w:rsid w:val="00D54659"/>
    <w:rsid w:val="00D55FB1"/>
    <w:rsid w:val="00D571D3"/>
    <w:rsid w:val="00D572EF"/>
    <w:rsid w:val="00D573E7"/>
    <w:rsid w:val="00D62B44"/>
    <w:rsid w:val="00D63024"/>
    <w:rsid w:val="00D63D04"/>
    <w:rsid w:val="00D63FBC"/>
    <w:rsid w:val="00D645B8"/>
    <w:rsid w:val="00D65561"/>
    <w:rsid w:val="00D65E9F"/>
    <w:rsid w:val="00D67F68"/>
    <w:rsid w:val="00D7562B"/>
    <w:rsid w:val="00D775D1"/>
    <w:rsid w:val="00D8157C"/>
    <w:rsid w:val="00D82D93"/>
    <w:rsid w:val="00D83AB5"/>
    <w:rsid w:val="00D86444"/>
    <w:rsid w:val="00D86BF9"/>
    <w:rsid w:val="00D871D2"/>
    <w:rsid w:val="00D92B5A"/>
    <w:rsid w:val="00D93B47"/>
    <w:rsid w:val="00D93CD6"/>
    <w:rsid w:val="00D94669"/>
    <w:rsid w:val="00D9552F"/>
    <w:rsid w:val="00D95C82"/>
    <w:rsid w:val="00DA249E"/>
    <w:rsid w:val="00DA2B46"/>
    <w:rsid w:val="00DA4D28"/>
    <w:rsid w:val="00DA5C13"/>
    <w:rsid w:val="00DA6A16"/>
    <w:rsid w:val="00DB0CB3"/>
    <w:rsid w:val="00DB0D07"/>
    <w:rsid w:val="00DB0EBC"/>
    <w:rsid w:val="00DB51F8"/>
    <w:rsid w:val="00DB5297"/>
    <w:rsid w:val="00DC0ABA"/>
    <w:rsid w:val="00DC0C28"/>
    <w:rsid w:val="00DC1741"/>
    <w:rsid w:val="00DC1B64"/>
    <w:rsid w:val="00DC3888"/>
    <w:rsid w:val="00DC4583"/>
    <w:rsid w:val="00DC4973"/>
    <w:rsid w:val="00DC4A05"/>
    <w:rsid w:val="00DC4BAC"/>
    <w:rsid w:val="00DC5404"/>
    <w:rsid w:val="00DC5A35"/>
    <w:rsid w:val="00DC6F6F"/>
    <w:rsid w:val="00DC776E"/>
    <w:rsid w:val="00DC7784"/>
    <w:rsid w:val="00DD06B4"/>
    <w:rsid w:val="00DD0A03"/>
    <w:rsid w:val="00DD0C1D"/>
    <w:rsid w:val="00DD1014"/>
    <w:rsid w:val="00DD1FED"/>
    <w:rsid w:val="00DD2699"/>
    <w:rsid w:val="00DD321B"/>
    <w:rsid w:val="00DD5EE2"/>
    <w:rsid w:val="00DD5F3E"/>
    <w:rsid w:val="00DD67FC"/>
    <w:rsid w:val="00DD758A"/>
    <w:rsid w:val="00DD77A1"/>
    <w:rsid w:val="00DD7CDB"/>
    <w:rsid w:val="00DE2FBE"/>
    <w:rsid w:val="00DE3F5C"/>
    <w:rsid w:val="00DE4076"/>
    <w:rsid w:val="00DE548C"/>
    <w:rsid w:val="00DE5C37"/>
    <w:rsid w:val="00DE7A24"/>
    <w:rsid w:val="00DF00C4"/>
    <w:rsid w:val="00DF4A27"/>
    <w:rsid w:val="00DF4D97"/>
    <w:rsid w:val="00DF6129"/>
    <w:rsid w:val="00E0088D"/>
    <w:rsid w:val="00E00F05"/>
    <w:rsid w:val="00E0650B"/>
    <w:rsid w:val="00E06CE6"/>
    <w:rsid w:val="00E07290"/>
    <w:rsid w:val="00E107D5"/>
    <w:rsid w:val="00E11A3B"/>
    <w:rsid w:val="00E11C67"/>
    <w:rsid w:val="00E12E89"/>
    <w:rsid w:val="00E1623B"/>
    <w:rsid w:val="00E16460"/>
    <w:rsid w:val="00E23B02"/>
    <w:rsid w:val="00E249A6"/>
    <w:rsid w:val="00E25C70"/>
    <w:rsid w:val="00E26AD3"/>
    <w:rsid w:val="00E304A2"/>
    <w:rsid w:val="00E33395"/>
    <w:rsid w:val="00E34D12"/>
    <w:rsid w:val="00E458E8"/>
    <w:rsid w:val="00E46E98"/>
    <w:rsid w:val="00E505CF"/>
    <w:rsid w:val="00E55508"/>
    <w:rsid w:val="00E555B6"/>
    <w:rsid w:val="00E55940"/>
    <w:rsid w:val="00E609C5"/>
    <w:rsid w:val="00E62321"/>
    <w:rsid w:val="00E63011"/>
    <w:rsid w:val="00E632AA"/>
    <w:rsid w:val="00E64F95"/>
    <w:rsid w:val="00E66172"/>
    <w:rsid w:val="00E66610"/>
    <w:rsid w:val="00E67BC8"/>
    <w:rsid w:val="00E72D33"/>
    <w:rsid w:val="00E77126"/>
    <w:rsid w:val="00E771C1"/>
    <w:rsid w:val="00E77233"/>
    <w:rsid w:val="00E77B19"/>
    <w:rsid w:val="00E8147B"/>
    <w:rsid w:val="00E815D8"/>
    <w:rsid w:val="00E8324D"/>
    <w:rsid w:val="00E834EC"/>
    <w:rsid w:val="00E86905"/>
    <w:rsid w:val="00E86C18"/>
    <w:rsid w:val="00E86FE6"/>
    <w:rsid w:val="00E90218"/>
    <w:rsid w:val="00E913D4"/>
    <w:rsid w:val="00E9150E"/>
    <w:rsid w:val="00E93E78"/>
    <w:rsid w:val="00E93EA6"/>
    <w:rsid w:val="00E942FB"/>
    <w:rsid w:val="00E947EF"/>
    <w:rsid w:val="00E950DF"/>
    <w:rsid w:val="00E959DA"/>
    <w:rsid w:val="00E960AA"/>
    <w:rsid w:val="00E9668D"/>
    <w:rsid w:val="00E96691"/>
    <w:rsid w:val="00E97529"/>
    <w:rsid w:val="00EA373F"/>
    <w:rsid w:val="00EA42A1"/>
    <w:rsid w:val="00EA45F2"/>
    <w:rsid w:val="00EA461A"/>
    <w:rsid w:val="00EA4B30"/>
    <w:rsid w:val="00EA4BA9"/>
    <w:rsid w:val="00EB1822"/>
    <w:rsid w:val="00EB27F0"/>
    <w:rsid w:val="00EB358F"/>
    <w:rsid w:val="00EB36FC"/>
    <w:rsid w:val="00EB4933"/>
    <w:rsid w:val="00EB56CF"/>
    <w:rsid w:val="00EB7603"/>
    <w:rsid w:val="00EC3F34"/>
    <w:rsid w:val="00EC6199"/>
    <w:rsid w:val="00EC6315"/>
    <w:rsid w:val="00ED08DB"/>
    <w:rsid w:val="00ED1DDF"/>
    <w:rsid w:val="00ED2D86"/>
    <w:rsid w:val="00ED35AA"/>
    <w:rsid w:val="00ED6710"/>
    <w:rsid w:val="00ED673E"/>
    <w:rsid w:val="00ED6A67"/>
    <w:rsid w:val="00ED764C"/>
    <w:rsid w:val="00EE0881"/>
    <w:rsid w:val="00EE1976"/>
    <w:rsid w:val="00EE3032"/>
    <w:rsid w:val="00EE384F"/>
    <w:rsid w:val="00EE50EE"/>
    <w:rsid w:val="00EE5AF9"/>
    <w:rsid w:val="00EE73BF"/>
    <w:rsid w:val="00EF2046"/>
    <w:rsid w:val="00EF2C14"/>
    <w:rsid w:val="00EF3981"/>
    <w:rsid w:val="00EF431F"/>
    <w:rsid w:val="00EF43D2"/>
    <w:rsid w:val="00EF4A22"/>
    <w:rsid w:val="00EF68B0"/>
    <w:rsid w:val="00EF68EE"/>
    <w:rsid w:val="00EF6A71"/>
    <w:rsid w:val="00EF6BFE"/>
    <w:rsid w:val="00EF6ED5"/>
    <w:rsid w:val="00EF7BAD"/>
    <w:rsid w:val="00F018F8"/>
    <w:rsid w:val="00F02EA3"/>
    <w:rsid w:val="00F036F1"/>
    <w:rsid w:val="00F04628"/>
    <w:rsid w:val="00F07109"/>
    <w:rsid w:val="00F12301"/>
    <w:rsid w:val="00F16CC3"/>
    <w:rsid w:val="00F17D98"/>
    <w:rsid w:val="00F21C5B"/>
    <w:rsid w:val="00F245D8"/>
    <w:rsid w:val="00F254D3"/>
    <w:rsid w:val="00F3063D"/>
    <w:rsid w:val="00F3166C"/>
    <w:rsid w:val="00F31BCB"/>
    <w:rsid w:val="00F31EE9"/>
    <w:rsid w:val="00F3270E"/>
    <w:rsid w:val="00F32F68"/>
    <w:rsid w:val="00F33ECF"/>
    <w:rsid w:val="00F342DE"/>
    <w:rsid w:val="00F34A72"/>
    <w:rsid w:val="00F352EA"/>
    <w:rsid w:val="00F376D5"/>
    <w:rsid w:val="00F376FD"/>
    <w:rsid w:val="00F3771C"/>
    <w:rsid w:val="00F40258"/>
    <w:rsid w:val="00F406FE"/>
    <w:rsid w:val="00F424D6"/>
    <w:rsid w:val="00F45348"/>
    <w:rsid w:val="00F45A5F"/>
    <w:rsid w:val="00F45C9D"/>
    <w:rsid w:val="00F47000"/>
    <w:rsid w:val="00F47657"/>
    <w:rsid w:val="00F514A0"/>
    <w:rsid w:val="00F51A28"/>
    <w:rsid w:val="00F51B5C"/>
    <w:rsid w:val="00F521BF"/>
    <w:rsid w:val="00F54541"/>
    <w:rsid w:val="00F5626A"/>
    <w:rsid w:val="00F56670"/>
    <w:rsid w:val="00F56CEC"/>
    <w:rsid w:val="00F5766B"/>
    <w:rsid w:val="00F60BE3"/>
    <w:rsid w:val="00F62DDC"/>
    <w:rsid w:val="00F642B5"/>
    <w:rsid w:val="00F65A63"/>
    <w:rsid w:val="00F6634A"/>
    <w:rsid w:val="00F66FA8"/>
    <w:rsid w:val="00F712E2"/>
    <w:rsid w:val="00F712F7"/>
    <w:rsid w:val="00F71722"/>
    <w:rsid w:val="00F7266B"/>
    <w:rsid w:val="00F72911"/>
    <w:rsid w:val="00F72C26"/>
    <w:rsid w:val="00F72DC0"/>
    <w:rsid w:val="00F73BE8"/>
    <w:rsid w:val="00F742B1"/>
    <w:rsid w:val="00F765DE"/>
    <w:rsid w:val="00F768AE"/>
    <w:rsid w:val="00F8153F"/>
    <w:rsid w:val="00F81624"/>
    <w:rsid w:val="00F81E11"/>
    <w:rsid w:val="00F825CB"/>
    <w:rsid w:val="00F82B75"/>
    <w:rsid w:val="00F82B91"/>
    <w:rsid w:val="00F82BF0"/>
    <w:rsid w:val="00F83BED"/>
    <w:rsid w:val="00F86791"/>
    <w:rsid w:val="00F8781D"/>
    <w:rsid w:val="00F879E5"/>
    <w:rsid w:val="00F91E30"/>
    <w:rsid w:val="00F92B3F"/>
    <w:rsid w:val="00F96DD1"/>
    <w:rsid w:val="00F97B20"/>
    <w:rsid w:val="00FA0598"/>
    <w:rsid w:val="00FA1B9B"/>
    <w:rsid w:val="00FA1D61"/>
    <w:rsid w:val="00FA325E"/>
    <w:rsid w:val="00FA3846"/>
    <w:rsid w:val="00FA3D40"/>
    <w:rsid w:val="00FA6E44"/>
    <w:rsid w:val="00FA6EB8"/>
    <w:rsid w:val="00FB3541"/>
    <w:rsid w:val="00FB363D"/>
    <w:rsid w:val="00FB3D2D"/>
    <w:rsid w:val="00FB4D00"/>
    <w:rsid w:val="00FB5582"/>
    <w:rsid w:val="00FC3432"/>
    <w:rsid w:val="00FC7854"/>
    <w:rsid w:val="00FD272A"/>
    <w:rsid w:val="00FD3C2C"/>
    <w:rsid w:val="00FD66AB"/>
    <w:rsid w:val="00FE0D54"/>
    <w:rsid w:val="00FE17B3"/>
    <w:rsid w:val="00FE20E0"/>
    <w:rsid w:val="00FE34D2"/>
    <w:rsid w:val="00FE3E11"/>
    <w:rsid w:val="00FE54B3"/>
    <w:rsid w:val="00FE57A8"/>
    <w:rsid w:val="00FE57D9"/>
    <w:rsid w:val="00FE67DE"/>
    <w:rsid w:val="00FE7765"/>
    <w:rsid w:val="00FF0B2A"/>
    <w:rsid w:val="00FF1B8D"/>
    <w:rsid w:val="00FF43CC"/>
    <w:rsid w:val="00FF73AA"/>
    <w:rsid w:val="00FF75FC"/>
    <w:rsid w:val="00FF7C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F30B3"/>
  <w15:docId w15:val="{85E027E8-EE24-45DB-9159-DD52AB2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40"/>
    <w:pPr>
      <w:spacing w:after="200" w:line="276" w:lineRule="auto"/>
    </w:pPr>
  </w:style>
  <w:style w:type="paragraph" w:styleId="Heading1">
    <w:name w:val="heading 1"/>
    <w:basedOn w:val="Normal"/>
    <w:next w:val="Normal"/>
    <w:link w:val="Heading1Char"/>
    <w:uiPriority w:val="9"/>
    <w:qFormat/>
    <w:rsid w:val="003937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01F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1F9"/>
    <w:rPr>
      <w:color w:val="0563C1" w:themeColor="hyperlink"/>
      <w:u w:val="single"/>
    </w:rPr>
  </w:style>
  <w:style w:type="character" w:customStyle="1" w:styleId="Heading2Char">
    <w:name w:val="Heading 2 Char"/>
    <w:basedOn w:val="DefaultParagraphFont"/>
    <w:link w:val="Heading2"/>
    <w:uiPriority w:val="9"/>
    <w:rsid w:val="00A701F9"/>
    <w:rPr>
      <w:rFonts w:asciiTheme="majorHAnsi" w:eastAsiaTheme="majorEastAsia" w:hAnsiTheme="majorHAnsi" w:cstheme="majorBidi"/>
      <w:b/>
      <w:bCs/>
      <w:color w:val="4472C4" w:themeColor="accent1"/>
      <w:sz w:val="26"/>
      <w:szCs w:val="26"/>
    </w:rPr>
  </w:style>
  <w:style w:type="paragraph" w:styleId="ListParagraph">
    <w:name w:val="List Paragraph"/>
    <w:aliases w:val="List Paragraph 1,NUMBERED PARAGRAPH,List Paragraph (numbered (a)),Use Case List Paragraph,References,ReferencesCxSpLast,lp1"/>
    <w:basedOn w:val="Normal"/>
    <w:next w:val="Normal"/>
    <w:link w:val="ListParagraphChar"/>
    <w:uiPriority w:val="34"/>
    <w:qFormat/>
    <w:rsid w:val="00A701F9"/>
    <w:pPr>
      <w:spacing w:after="0" w:line="240" w:lineRule="auto"/>
      <w:ind w:left="720"/>
    </w:pPr>
    <w:rPr>
      <w:rFonts w:ascii="Calibri" w:hAnsi="Calibri" w:cs="Calibri"/>
      <w:lang w:val="en-US"/>
    </w:rPr>
  </w:style>
  <w:style w:type="character" w:customStyle="1" w:styleId="ListParagraphChar">
    <w:name w:val="List Paragraph Char"/>
    <w:aliases w:val="List Paragraph 1 Char,NUMBERED PARAGRAPH Char,List Paragraph (numbered (a)) Char,Use Case List Paragraph Char,References Char,ReferencesCxSpLast Char,lp1 Char"/>
    <w:link w:val="ListParagraph"/>
    <w:uiPriority w:val="1"/>
    <w:locked/>
    <w:rsid w:val="00A701F9"/>
    <w:rPr>
      <w:rFonts w:ascii="Calibri" w:hAnsi="Calibri" w:cs="Calibri"/>
      <w:lang w:val="en-US"/>
    </w:rPr>
  </w:style>
  <w:style w:type="paragraph" w:customStyle="1" w:styleId="Default">
    <w:name w:val="Default"/>
    <w:uiPriority w:val="1"/>
    <w:rsid w:val="00D86BF9"/>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51A28"/>
    <w:pPr>
      <w:widowControl w:val="0"/>
      <w:autoSpaceDE w:val="0"/>
      <w:autoSpaceDN w:val="0"/>
      <w:spacing w:after="0" w:line="240" w:lineRule="auto"/>
      <w:ind w:right="136"/>
      <w:jc w:val="right"/>
    </w:pPr>
    <w:rPr>
      <w:rFonts w:ascii="Calibri" w:eastAsia="Calibri" w:hAnsi="Calibri" w:cs="Calibri"/>
      <w:lang w:val="en-US"/>
    </w:rPr>
  </w:style>
  <w:style w:type="character" w:styleId="UnresolvedMention">
    <w:name w:val="Unresolved Mention"/>
    <w:basedOn w:val="DefaultParagraphFont"/>
    <w:uiPriority w:val="99"/>
    <w:semiHidden/>
    <w:unhideWhenUsed/>
    <w:rsid w:val="00152357"/>
    <w:rPr>
      <w:color w:val="605E5C"/>
      <w:shd w:val="clear" w:color="auto" w:fill="E1DFDD"/>
    </w:rPr>
  </w:style>
  <w:style w:type="character" w:styleId="CommentReference">
    <w:name w:val="annotation reference"/>
    <w:basedOn w:val="DefaultParagraphFont"/>
    <w:uiPriority w:val="99"/>
    <w:semiHidden/>
    <w:unhideWhenUsed/>
    <w:rsid w:val="005F32BC"/>
    <w:rPr>
      <w:sz w:val="16"/>
      <w:szCs w:val="16"/>
    </w:rPr>
  </w:style>
  <w:style w:type="paragraph" w:styleId="CommentText">
    <w:name w:val="annotation text"/>
    <w:basedOn w:val="Normal"/>
    <w:link w:val="CommentTextChar"/>
    <w:uiPriority w:val="99"/>
    <w:unhideWhenUsed/>
    <w:rsid w:val="005F32BC"/>
    <w:pPr>
      <w:spacing w:line="240" w:lineRule="auto"/>
    </w:pPr>
    <w:rPr>
      <w:sz w:val="20"/>
      <w:szCs w:val="20"/>
    </w:rPr>
  </w:style>
  <w:style w:type="character" w:customStyle="1" w:styleId="CommentTextChar">
    <w:name w:val="Comment Text Char"/>
    <w:basedOn w:val="DefaultParagraphFont"/>
    <w:link w:val="CommentText"/>
    <w:uiPriority w:val="99"/>
    <w:rsid w:val="005F32BC"/>
    <w:rPr>
      <w:sz w:val="20"/>
      <w:szCs w:val="20"/>
    </w:rPr>
  </w:style>
  <w:style w:type="paragraph" w:styleId="CommentSubject">
    <w:name w:val="annotation subject"/>
    <w:basedOn w:val="CommentText"/>
    <w:next w:val="CommentText"/>
    <w:link w:val="CommentSubjectChar"/>
    <w:uiPriority w:val="99"/>
    <w:semiHidden/>
    <w:unhideWhenUsed/>
    <w:rsid w:val="005F32BC"/>
    <w:rPr>
      <w:b/>
      <w:bCs/>
    </w:rPr>
  </w:style>
  <w:style w:type="character" w:customStyle="1" w:styleId="CommentSubjectChar">
    <w:name w:val="Comment Subject Char"/>
    <w:basedOn w:val="CommentTextChar"/>
    <w:link w:val="CommentSubject"/>
    <w:uiPriority w:val="99"/>
    <w:semiHidden/>
    <w:rsid w:val="005F32BC"/>
    <w:rPr>
      <w:b/>
      <w:bCs/>
      <w:sz w:val="20"/>
      <w:szCs w:val="20"/>
    </w:rPr>
  </w:style>
  <w:style w:type="character" w:customStyle="1" w:styleId="font91">
    <w:name w:val="font91"/>
    <w:basedOn w:val="DefaultParagraphFont"/>
    <w:rsid w:val="00A468BC"/>
    <w:rPr>
      <w:rFonts w:ascii="Calibri" w:hAnsi="Calibri" w:cs="Calibri" w:hint="default"/>
      <w:b w:val="0"/>
      <w:bCs w:val="0"/>
      <w:i w:val="0"/>
      <w:iCs w:val="0"/>
      <w:strike w:val="0"/>
      <w:dstrike w:val="0"/>
      <w:color w:val="000000"/>
      <w:sz w:val="20"/>
      <w:szCs w:val="20"/>
      <w:u w:val="none"/>
      <w:effect w:val="none"/>
    </w:rPr>
  </w:style>
  <w:style w:type="paragraph" w:customStyle="1" w:styleId="pf0">
    <w:name w:val="pf0"/>
    <w:basedOn w:val="Normal"/>
    <w:rsid w:val="00E6661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f01">
    <w:name w:val="cf01"/>
    <w:basedOn w:val="DefaultParagraphFont"/>
    <w:rsid w:val="00E66610"/>
    <w:rPr>
      <w:rFonts w:ascii="Segoe UI" w:hAnsi="Segoe UI" w:cs="Segoe UI" w:hint="default"/>
      <w:sz w:val="18"/>
      <w:szCs w:val="18"/>
    </w:rPr>
  </w:style>
  <w:style w:type="character" w:customStyle="1" w:styleId="Heading1Char">
    <w:name w:val="Heading 1 Char"/>
    <w:basedOn w:val="DefaultParagraphFont"/>
    <w:link w:val="Heading1"/>
    <w:uiPriority w:val="9"/>
    <w:rsid w:val="003937AB"/>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C37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C4"/>
  </w:style>
  <w:style w:type="paragraph" w:styleId="Footer">
    <w:name w:val="footer"/>
    <w:basedOn w:val="Normal"/>
    <w:link w:val="FooterChar"/>
    <w:uiPriority w:val="99"/>
    <w:unhideWhenUsed/>
    <w:rsid w:val="00C37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C4"/>
  </w:style>
  <w:style w:type="character" w:styleId="Strong">
    <w:name w:val="Strong"/>
    <w:basedOn w:val="DefaultParagraphFont"/>
    <w:uiPriority w:val="22"/>
    <w:qFormat/>
    <w:rsid w:val="009750F2"/>
    <w:rPr>
      <w:b/>
      <w:bCs/>
    </w:rPr>
  </w:style>
  <w:style w:type="paragraph" w:styleId="BodyText">
    <w:name w:val="Body Text"/>
    <w:basedOn w:val="Normal"/>
    <w:link w:val="BodyTextChar"/>
    <w:uiPriority w:val="1"/>
    <w:qFormat/>
    <w:rsid w:val="001D2105"/>
    <w:pPr>
      <w:widowControl w:val="0"/>
      <w:autoSpaceDE w:val="0"/>
      <w:autoSpaceDN w:val="0"/>
      <w:adjustRightInd w:val="0"/>
      <w:spacing w:after="0" w:line="240" w:lineRule="auto"/>
      <w:ind w:left="1540"/>
    </w:pPr>
    <w:rPr>
      <w:rFonts w:ascii="Arial" w:eastAsiaTheme="minorEastAsia" w:hAnsi="Arial" w:cs="Arial"/>
      <w:lang w:eastAsia="en-ZA"/>
    </w:rPr>
  </w:style>
  <w:style w:type="character" w:customStyle="1" w:styleId="BodyTextChar">
    <w:name w:val="Body Text Char"/>
    <w:basedOn w:val="DefaultParagraphFont"/>
    <w:link w:val="BodyText"/>
    <w:uiPriority w:val="1"/>
    <w:rsid w:val="001D2105"/>
    <w:rPr>
      <w:rFonts w:ascii="Arial" w:eastAsiaTheme="minorEastAsia" w:hAnsi="Arial" w:cs="Arial"/>
      <w:lang w:eastAsia="en-ZA"/>
    </w:rPr>
  </w:style>
  <w:style w:type="paragraph" w:styleId="Revision">
    <w:name w:val="Revision"/>
    <w:hidden/>
    <w:uiPriority w:val="99"/>
    <w:semiHidden/>
    <w:rsid w:val="004D3D0C"/>
    <w:pPr>
      <w:spacing w:after="0" w:line="240" w:lineRule="auto"/>
    </w:pPr>
  </w:style>
  <w:style w:type="table" w:customStyle="1" w:styleId="TableGrid1">
    <w:name w:val="Table Grid1"/>
    <w:basedOn w:val="TableNormal"/>
    <w:next w:val="TableGrid"/>
    <w:uiPriority w:val="59"/>
    <w:rsid w:val="00B71FA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B71FAB"/>
    <w:pPr>
      <w:spacing w:after="100" w:line="259" w:lineRule="auto"/>
    </w:pPr>
    <w:rPr>
      <w:lang w:val="en-US"/>
    </w:rPr>
  </w:style>
  <w:style w:type="paragraph" w:styleId="NoSpacing">
    <w:name w:val="No Spacing"/>
    <w:uiPriority w:val="1"/>
    <w:qFormat/>
    <w:rsid w:val="00B71FAB"/>
    <w:pPr>
      <w:spacing w:after="0" w:line="240" w:lineRule="auto"/>
    </w:pPr>
    <w:rPr>
      <w:lang w:val="en-US"/>
    </w:rPr>
  </w:style>
  <w:style w:type="paragraph" w:styleId="TOCHeading">
    <w:name w:val="TOC Heading"/>
    <w:basedOn w:val="Heading1"/>
    <w:next w:val="Normal"/>
    <w:uiPriority w:val="39"/>
    <w:unhideWhenUsed/>
    <w:qFormat/>
    <w:rsid w:val="00B71FAB"/>
    <w:pPr>
      <w:spacing w:before="240" w:line="259" w:lineRule="auto"/>
      <w:outlineLvl w:val="9"/>
    </w:pPr>
    <w:rPr>
      <w:b w:val="0"/>
      <w:bCs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0F43-C5E8-4415-8E0D-0100F04D7710}">
  <ds:schemaRefs>
    <ds:schemaRef ds:uri="http://schemas.openxmlformats.org/officeDocument/2006/bibliography"/>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Normal</Template>
  <TotalTime>1</TotalTime>
  <Pages>19</Pages>
  <Words>7202</Words>
  <Characters>41057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dc:creator>
  <cp:keywords/>
  <dc:description/>
  <cp:lastModifiedBy>Masenye Masemola</cp:lastModifiedBy>
  <cp:revision>2</cp:revision>
  <dcterms:created xsi:type="dcterms:W3CDTF">2023-03-02T11:04:00Z</dcterms:created>
  <dcterms:modified xsi:type="dcterms:W3CDTF">2023-03-02T11:04:00Z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2021-07-29T18:48:34Z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7dd5e5cc-a697-4394-b2a3-d2d2b7057be3</vt:lpwstr>
  </property>
  <property fmtid="{D5CDD505-2E9C-101B-9397-08002B2CF9AE}" pid="8" name="MSIP_Label_70c52299-74de-4dfd-b117-c9c408edfa50_ContentBits">
    <vt:lpwstr>0</vt:lpwstr>
  </property>
</Properties>
</file>